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FBFD8D" w14:textId="77777777" w:rsidR="003D56E8" w:rsidRDefault="003D56E8">
      <w:pPr>
        <w:pBdr>
          <w:top w:val="nil"/>
          <w:left w:val="nil"/>
          <w:bottom w:val="nil"/>
          <w:right w:val="nil"/>
          <w:between w:val="nil"/>
        </w:pBdr>
        <w:spacing w:before="3"/>
        <w:rPr>
          <w:color w:val="000000"/>
          <w:sz w:val="25"/>
          <w:szCs w:val="25"/>
        </w:rPr>
      </w:pPr>
      <w:bookmarkStart w:id="0" w:name="_GoBack"/>
      <w:bookmarkEnd w:id="0"/>
    </w:p>
    <w:p w14:paraId="2D3ACFE8" w14:textId="77777777" w:rsidR="003D56E8" w:rsidRDefault="00AA767F">
      <w:pPr>
        <w:pBdr>
          <w:top w:val="nil"/>
          <w:left w:val="nil"/>
          <w:bottom w:val="nil"/>
          <w:right w:val="nil"/>
          <w:between w:val="nil"/>
        </w:pBdr>
        <w:ind w:left="1891"/>
        <w:rPr>
          <w:color w:val="000000"/>
          <w:sz w:val="20"/>
          <w:szCs w:val="20"/>
        </w:rPr>
      </w:pPr>
      <w:r>
        <w:rPr>
          <w:noProof/>
          <w:color w:val="000000"/>
          <w:sz w:val="20"/>
          <w:szCs w:val="20"/>
        </w:rPr>
        <w:drawing>
          <wp:inline distT="0" distB="0" distL="0" distR="0" wp14:anchorId="19896DED" wp14:editId="484AE661">
            <wp:extent cx="3843772" cy="914400"/>
            <wp:effectExtent l="0" t="0" r="0" b="0"/>
            <wp:docPr id="20"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0"/>
                    <a:srcRect/>
                    <a:stretch>
                      <a:fillRect/>
                    </a:stretch>
                  </pic:blipFill>
                  <pic:spPr>
                    <a:xfrm>
                      <a:off x="0" y="0"/>
                      <a:ext cx="3843772" cy="914400"/>
                    </a:xfrm>
                    <a:prstGeom prst="rect">
                      <a:avLst/>
                    </a:prstGeom>
                    <a:ln/>
                  </pic:spPr>
                </pic:pic>
              </a:graphicData>
            </a:graphic>
          </wp:inline>
        </w:drawing>
      </w:r>
    </w:p>
    <w:p w14:paraId="4446CE46" w14:textId="5BA1E006" w:rsidR="003D56E8" w:rsidRDefault="00AA767F">
      <w:pPr>
        <w:pBdr>
          <w:top w:val="nil"/>
          <w:left w:val="nil"/>
          <w:bottom w:val="nil"/>
          <w:right w:val="nil"/>
          <w:between w:val="nil"/>
        </w:pBdr>
        <w:ind w:right="116"/>
        <w:jc w:val="right"/>
        <w:rPr>
          <w:rFonts w:ascii="Arial" w:eastAsia="Arial" w:hAnsi="Arial" w:cs="Arial"/>
          <w:color w:val="000000"/>
          <w:sz w:val="24"/>
          <w:szCs w:val="24"/>
        </w:rPr>
      </w:pPr>
      <w:bookmarkStart w:id="1" w:name="bookmark=id.gjdgxs" w:colFirst="0" w:colLast="0"/>
      <w:bookmarkEnd w:id="1"/>
      <w:r>
        <w:rPr>
          <w:rFonts w:ascii="Arial" w:eastAsia="Arial" w:hAnsi="Arial" w:cs="Arial"/>
          <w:color w:val="000000"/>
          <w:sz w:val="24"/>
          <w:szCs w:val="24"/>
        </w:rPr>
        <w:t xml:space="preserve">October </w:t>
      </w:r>
      <w:r w:rsidR="00780B8A">
        <w:rPr>
          <w:rFonts w:ascii="Arial" w:eastAsia="Arial" w:hAnsi="Arial" w:cs="Arial"/>
          <w:color w:val="000000"/>
          <w:sz w:val="24"/>
          <w:szCs w:val="24"/>
        </w:rPr>
        <w:t>6</w:t>
      </w:r>
      <w:r>
        <w:rPr>
          <w:rFonts w:ascii="Arial" w:eastAsia="Arial" w:hAnsi="Arial" w:cs="Arial"/>
          <w:color w:val="000000"/>
          <w:sz w:val="24"/>
          <w:szCs w:val="24"/>
        </w:rPr>
        <w:t>, 2020</w:t>
      </w:r>
    </w:p>
    <w:p w14:paraId="6B6428D8" w14:textId="77777777" w:rsidR="003D56E8" w:rsidRDefault="003D56E8">
      <w:pPr>
        <w:pBdr>
          <w:top w:val="nil"/>
          <w:left w:val="nil"/>
          <w:bottom w:val="nil"/>
          <w:right w:val="nil"/>
          <w:between w:val="nil"/>
        </w:pBdr>
        <w:spacing w:before="8"/>
        <w:rPr>
          <w:rFonts w:ascii="Arial" w:eastAsia="Arial" w:hAnsi="Arial" w:cs="Arial"/>
          <w:color w:val="000000"/>
          <w:sz w:val="15"/>
          <w:szCs w:val="15"/>
        </w:rPr>
      </w:pPr>
    </w:p>
    <w:p w14:paraId="7C7FE95D" w14:textId="77777777" w:rsidR="003D56E8" w:rsidRDefault="00AA767F" w:rsidP="009838D8">
      <w:pPr>
        <w:pBdr>
          <w:top w:val="nil"/>
          <w:left w:val="nil"/>
          <w:bottom w:val="nil"/>
          <w:right w:val="nil"/>
          <w:between w:val="nil"/>
        </w:pBdr>
        <w:spacing w:before="93"/>
        <w:ind w:left="600" w:right="6110"/>
        <w:rPr>
          <w:rFonts w:ascii="Arial" w:eastAsia="Arial" w:hAnsi="Arial" w:cs="Arial"/>
          <w:color w:val="000000"/>
          <w:sz w:val="24"/>
          <w:szCs w:val="24"/>
        </w:rPr>
      </w:pPr>
      <w:r>
        <w:rPr>
          <w:rFonts w:ascii="Arial" w:eastAsia="Arial" w:hAnsi="Arial" w:cs="Arial"/>
          <w:color w:val="000000"/>
          <w:sz w:val="24"/>
          <w:szCs w:val="24"/>
        </w:rPr>
        <w:t>Hon. Jeannie Ehaloak Minister Responsible for</w:t>
      </w:r>
    </w:p>
    <w:p w14:paraId="5228A193" w14:textId="77777777" w:rsidR="003D56E8" w:rsidRDefault="00AA767F" w:rsidP="009838D8">
      <w:pPr>
        <w:pBdr>
          <w:top w:val="nil"/>
          <w:left w:val="nil"/>
          <w:bottom w:val="nil"/>
          <w:right w:val="nil"/>
          <w:between w:val="nil"/>
        </w:pBdr>
        <w:ind w:left="600" w:right="5210"/>
        <w:rPr>
          <w:rFonts w:ascii="Arial" w:eastAsia="Arial" w:hAnsi="Arial" w:cs="Arial"/>
          <w:color w:val="000000"/>
          <w:sz w:val="24"/>
          <w:szCs w:val="24"/>
        </w:rPr>
      </w:pPr>
      <w:proofErr w:type="gramStart"/>
      <w:r>
        <w:rPr>
          <w:rFonts w:ascii="Arial" w:eastAsia="Arial" w:hAnsi="Arial" w:cs="Arial"/>
          <w:color w:val="000000"/>
          <w:sz w:val="24"/>
          <w:szCs w:val="24"/>
        </w:rPr>
        <w:t>the</w:t>
      </w:r>
      <w:proofErr w:type="gramEnd"/>
      <w:r>
        <w:rPr>
          <w:rFonts w:ascii="Arial" w:eastAsia="Arial" w:hAnsi="Arial" w:cs="Arial"/>
          <w:color w:val="000000"/>
          <w:sz w:val="24"/>
          <w:szCs w:val="24"/>
        </w:rPr>
        <w:t xml:space="preserve"> Qulliq Energy Corporation Legislative Assembly of Nunavut</w:t>
      </w:r>
    </w:p>
    <w:p w14:paraId="288A9E20" w14:textId="77777777" w:rsidR="009838D8" w:rsidRDefault="00AA767F" w:rsidP="009838D8">
      <w:pPr>
        <w:pBdr>
          <w:top w:val="nil"/>
          <w:left w:val="nil"/>
          <w:bottom w:val="nil"/>
          <w:right w:val="nil"/>
          <w:between w:val="nil"/>
        </w:pBdr>
        <w:ind w:left="600" w:right="6650"/>
        <w:jc w:val="both"/>
        <w:rPr>
          <w:rFonts w:ascii="Arial" w:eastAsia="Arial" w:hAnsi="Arial" w:cs="Arial"/>
          <w:color w:val="000000"/>
          <w:sz w:val="24"/>
          <w:szCs w:val="24"/>
        </w:rPr>
      </w:pPr>
      <w:r>
        <w:rPr>
          <w:rFonts w:ascii="Arial" w:eastAsia="Arial" w:hAnsi="Arial" w:cs="Arial"/>
          <w:color w:val="000000"/>
          <w:sz w:val="24"/>
          <w:szCs w:val="24"/>
        </w:rPr>
        <w:t>P. O. Box 2410</w:t>
      </w:r>
    </w:p>
    <w:p w14:paraId="7BCB69ED" w14:textId="68E0F8A8" w:rsidR="003D56E8" w:rsidRDefault="00AA767F" w:rsidP="009838D8">
      <w:pPr>
        <w:pBdr>
          <w:top w:val="nil"/>
          <w:left w:val="nil"/>
          <w:bottom w:val="nil"/>
          <w:right w:val="nil"/>
          <w:between w:val="nil"/>
        </w:pBdr>
        <w:ind w:left="600" w:right="6560"/>
        <w:jc w:val="both"/>
        <w:rPr>
          <w:rFonts w:ascii="Arial" w:eastAsia="Arial" w:hAnsi="Arial" w:cs="Arial"/>
          <w:color w:val="000000"/>
          <w:sz w:val="24"/>
          <w:szCs w:val="24"/>
        </w:rPr>
      </w:pPr>
      <w:r>
        <w:rPr>
          <w:rFonts w:ascii="Arial" w:eastAsia="Arial" w:hAnsi="Arial" w:cs="Arial"/>
          <w:color w:val="000000"/>
          <w:sz w:val="24"/>
          <w:szCs w:val="24"/>
        </w:rPr>
        <w:t>Iqaluit,</w:t>
      </w:r>
      <w:r>
        <w:rPr>
          <w:rFonts w:ascii="Arial" w:eastAsia="Arial" w:hAnsi="Arial" w:cs="Arial"/>
          <w:sz w:val="24"/>
          <w:szCs w:val="24"/>
        </w:rPr>
        <w:t xml:space="preserve"> </w:t>
      </w:r>
      <w:r>
        <w:rPr>
          <w:rFonts w:ascii="Arial" w:eastAsia="Arial" w:hAnsi="Arial" w:cs="Arial"/>
          <w:color w:val="000000"/>
          <w:sz w:val="24"/>
          <w:szCs w:val="24"/>
        </w:rPr>
        <w:t>NU X0A 0H0</w:t>
      </w:r>
    </w:p>
    <w:p w14:paraId="45ABAE05" w14:textId="77777777" w:rsidR="003D56E8" w:rsidRDefault="003D56E8">
      <w:pPr>
        <w:pBdr>
          <w:top w:val="nil"/>
          <w:left w:val="nil"/>
          <w:bottom w:val="nil"/>
          <w:right w:val="nil"/>
          <w:between w:val="nil"/>
        </w:pBdr>
        <w:spacing w:before="10"/>
        <w:rPr>
          <w:rFonts w:ascii="Arial" w:eastAsia="Arial" w:hAnsi="Arial" w:cs="Arial"/>
          <w:color w:val="000000"/>
          <w:sz w:val="21"/>
          <w:szCs w:val="21"/>
        </w:rPr>
      </w:pPr>
    </w:p>
    <w:p w14:paraId="663FD8A5" w14:textId="77777777" w:rsidR="003D56E8" w:rsidRDefault="00AA767F">
      <w:pPr>
        <w:pBdr>
          <w:top w:val="nil"/>
          <w:left w:val="nil"/>
          <w:bottom w:val="nil"/>
          <w:right w:val="nil"/>
          <w:between w:val="nil"/>
        </w:pBdr>
        <w:ind w:left="600"/>
        <w:rPr>
          <w:rFonts w:ascii="Arial" w:eastAsia="Arial" w:hAnsi="Arial" w:cs="Arial"/>
          <w:color w:val="000000"/>
          <w:sz w:val="24"/>
          <w:szCs w:val="24"/>
        </w:rPr>
      </w:pPr>
      <w:r>
        <w:rPr>
          <w:rFonts w:ascii="Arial" w:eastAsia="Arial" w:hAnsi="Arial" w:cs="Arial"/>
          <w:color w:val="000000"/>
          <w:sz w:val="24"/>
          <w:szCs w:val="24"/>
        </w:rPr>
        <w:t>Dear Minister Ehaloak,</w:t>
      </w:r>
    </w:p>
    <w:p w14:paraId="3A67222F" w14:textId="77777777" w:rsidR="003D56E8" w:rsidRDefault="003D56E8">
      <w:pPr>
        <w:pBdr>
          <w:top w:val="nil"/>
          <w:left w:val="nil"/>
          <w:bottom w:val="nil"/>
          <w:right w:val="nil"/>
          <w:between w:val="nil"/>
        </w:pBdr>
        <w:rPr>
          <w:rFonts w:ascii="Arial" w:eastAsia="Arial" w:hAnsi="Arial" w:cs="Arial"/>
          <w:color w:val="000000"/>
          <w:sz w:val="24"/>
          <w:szCs w:val="24"/>
        </w:rPr>
      </w:pPr>
    </w:p>
    <w:p w14:paraId="219742A9" w14:textId="77777777" w:rsidR="003D56E8" w:rsidRDefault="00AA767F">
      <w:pPr>
        <w:pBdr>
          <w:top w:val="nil"/>
          <w:left w:val="nil"/>
          <w:bottom w:val="nil"/>
          <w:right w:val="nil"/>
          <w:between w:val="nil"/>
        </w:pBdr>
        <w:spacing w:before="1"/>
        <w:ind w:left="600" w:right="129"/>
        <w:rPr>
          <w:rFonts w:ascii="Arial" w:eastAsia="Arial" w:hAnsi="Arial" w:cs="Arial"/>
          <w:color w:val="000000"/>
          <w:sz w:val="24"/>
          <w:szCs w:val="24"/>
        </w:rPr>
      </w:pPr>
      <w:r>
        <w:rPr>
          <w:rFonts w:ascii="Arial" w:eastAsia="Arial" w:hAnsi="Arial" w:cs="Arial"/>
          <w:color w:val="000000"/>
          <w:sz w:val="24"/>
          <w:szCs w:val="24"/>
        </w:rPr>
        <w:t>RE: The Application for Commercial and Institutional Power Producers Pricing Structure, Utility Rates Review Council of Nunavut’s Report 2020-</w:t>
      </w:r>
      <w:r w:rsidRPr="004D7280">
        <w:rPr>
          <w:rFonts w:ascii="Arial" w:eastAsia="Arial" w:hAnsi="Arial" w:cs="Arial"/>
          <w:color w:val="000000"/>
          <w:sz w:val="24"/>
          <w:szCs w:val="24"/>
        </w:rPr>
        <w:t>04</w:t>
      </w:r>
      <w:r>
        <w:rPr>
          <w:rFonts w:ascii="Arial" w:eastAsia="Arial" w:hAnsi="Arial" w:cs="Arial"/>
          <w:color w:val="000000"/>
          <w:sz w:val="24"/>
          <w:szCs w:val="24"/>
        </w:rPr>
        <w:t>.</w:t>
      </w:r>
    </w:p>
    <w:p w14:paraId="42E52237" w14:textId="77777777" w:rsidR="003D56E8" w:rsidRDefault="003D56E8">
      <w:pPr>
        <w:pBdr>
          <w:top w:val="nil"/>
          <w:left w:val="nil"/>
          <w:bottom w:val="nil"/>
          <w:right w:val="nil"/>
          <w:between w:val="nil"/>
        </w:pBdr>
        <w:spacing w:before="11"/>
        <w:rPr>
          <w:rFonts w:ascii="Arial" w:eastAsia="Arial" w:hAnsi="Arial" w:cs="Arial"/>
          <w:color w:val="000000"/>
          <w:sz w:val="23"/>
          <w:szCs w:val="23"/>
        </w:rPr>
      </w:pPr>
    </w:p>
    <w:p w14:paraId="6B5E6322" w14:textId="51EB6ADD" w:rsidR="003D56E8" w:rsidRDefault="00AA767F">
      <w:pPr>
        <w:pBdr>
          <w:top w:val="nil"/>
          <w:left w:val="nil"/>
          <w:bottom w:val="nil"/>
          <w:right w:val="nil"/>
          <w:between w:val="nil"/>
        </w:pBdr>
        <w:ind w:left="599" w:right="586"/>
        <w:jc w:val="both"/>
        <w:rPr>
          <w:rFonts w:ascii="Arial" w:eastAsia="Arial" w:hAnsi="Arial" w:cs="Arial"/>
          <w:color w:val="000000"/>
          <w:sz w:val="24"/>
          <w:szCs w:val="24"/>
        </w:rPr>
      </w:pPr>
      <w:r>
        <w:rPr>
          <w:rFonts w:ascii="Arial" w:eastAsia="Arial" w:hAnsi="Arial" w:cs="Arial"/>
          <w:color w:val="000000"/>
          <w:sz w:val="24"/>
          <w:szCs w:val="24"/>
        </w:rPr>
        <w:t>By letter dated May 11, 2020, the Qulliq Energy Corp (QEC) applied to the Minister responsible for approval of a pricing structure and rates regarding the purchase of electricity from commercial and institutional power producers (CIPP Application). By letter dated May 12, 2020 the Minister responsible for QEC requested advice from the Utility Rates Review Council (URRC) with respect to QEC's CIPP Application.</w:t>
      </w:r>
    </w:p>
    <w:p w14:paraId="1F0DF050" w14:textId="77777777" w:rsidR="003D56E8" w:rsidRDefault="003D56E8">
      <w:pPr>
        <w:pBdr>
          <w:top w:val="nil"/>
          <w:left w:val="nil"/>
          <w:bottom w:val="nil"/>
          <w:right w:val="nil"/>
          <w:between w:val="nil"/>
        </w:pBdr>
        <w:rPr>
          <w:rFonts w:ascii="Arial" w:eastAsia="Arial" w:hAnsi="Arial" w:cs="Arial"/>
          <w:color w:val="000000"/>
          <w:sz w:val="24"/>
          <w:szCs w:val="24"/>
        </w:rPr>
      </w:pPr>
    </w:p>
    <w:p w14:paraId="74C8E255" w14:textId="77777777" w:rsidR="003D56E8" w:rsidRDefault="00AA767F">
      <w:pPr>
        <w:pBdr>
          <w:top w:val="nil"/>
          <w:left w:val="nil"/>
          <w:bottom w:val="nil"/>
          <w:right w:val="nil"/>
          <w:between w:val="nil"/>
        </w:pBdr>
        <w:ind w:left="599" w:right="588"/>
        <w:jc w:val="both"/>
        <w:rPr>
          <w:rFonts w:ascii="Arial" w:eastAsia="Arial" w:hAnsi="Arial" w:cs="Arial"/>
          <w:color w:val="000000"/>
          <w:sz w:val="24"/>
          <w:szCs w:val="24"/>
        </w:rPr>
      </w:pPr>
      <w:r>
        <w:rPr>
          <w:rFonts w:ascii="Arial" w:eastAsia="Arial" w:hAnsi="Arial" w:cs="Arial"/>
          <w:color w:val="000000"/>
          <w:sz w:val="24"/>
          <w:szCs w:val="24"/>
        </w:rPr>
        <w:t>In response to the Application and the Minister’s request, please find attached the URRC’s Report 2020-</w:t>
      </w:r>
      <w:r w:rsidRPr="004D7280">
        <w:rPr>
          <w:rFonts w:ascii="Arial" w:eastAsia="Arial" w:hAnsi="Arial" w:cs="Arial"/>
          <w:color w:val="000000"/>
          <w:sz w:val="24"/>
          <w:szCs w:val="24"/>
        </w:rPr>
        <w:t>04</w:t>
      </w:r>
      <w:r>
        <w:rPr>
          <w:rFonts w:ascii="Arial" w:eastAsia="Arial" w:hAnsi="Arial" w:cs="Arial"/>
          <w:color w:val="000000"/>
          <w:sz w:val="24"/>
          <w:szCs w:val="24"/>
        </w:rPr>
        <w:t>, respecting QEC’s CIPP Application.</w:t>
      </w:r>
    </w:p>
    <w:p w14:paraId="599FDCB3" w14:textId="77777777" w:rsidR="003D56E8" w:rsidRDefault="003D56E8">
      <w:pPr>
        <w:pBdr>
          <w:top w:val="nil"/>
          <w:left w:val="nil"/>
          <w:bottom w:val="nil"/>
          <w:right w:val="nil"/>
          <w:between w:val="nil"/>
        </w:pBdr>
        <w:rPr>
          <w:rFonts w:ascii="Arial" w:eastAsia="Arial" w:hAnsi="Arial" w:cs="Arial"/>
          <w:color w:val="000000"/>
          <w:sz w:val="24"/>
          <w:szCs w:val="24"/>
        </w:rPr>
      </w:pPr>
    </w:p>
    <w:p w14:paraId="64E2A8C0" w14:textId="77777777" w:rsidR="003D56E8" w:rsidRDefault="00AA767F">
      <w:pPr>
        <w:pBdr>
          <w:top w:val="nil"/>
          <w:left w:val="nil"/>
          <w:bottom w:val="nil"/>
          <w:right w:val="nil"/>
          <w:between w:val="nil"/>
        </w:pBdr>
        <w:spacing w:after="7"/>
        <w:ind w:left="599"/>
        <w:jc w:val="both"/>
        <w:rPr>
          <w:rFonts w:ascii="Arial" w:eastAsia="Arial" w:hAnsi="Arial" w:cs="Arial"/>
          <w:color w:val="000000"/>
          <w:sz w:val="24"/>
          <w:szCs w:val="24"/>
        </w:rPr>
      </w:pPr>
      <w:r>
        <w:rPr>
          <w:rFonts w:ascii="Arial" w:eastAsia="Arial" w:hAnsi="Arial" w:cs="Arial"/>
          <w:color w:val="000000"/>
          <w:sz w:val="24"/>
          <w:szCs w:val="24"/>
        </w:rPr>
        <w:t>Yours truly,</w:t>
      </w:r>
    </w:p>
    <w:p w14:paraId="6670B2E7" w14:textId="77777777" w:rsidR="003D56E8" w:rsidRDefault="00AA767F">
      <w:pPr>
        <w:pBdr>
          <w:top w:val="nil"/>
          <w:left w:val="nil"/>
          <w:bottom w:val="nil"/>
          <w:right w:val="nil"/>
          <w:between w:val="nil"/>
        </w:pBdr>
        <w:ind w:left="140"/>
        <w:rPr>
          <w:rFonts w:ascii="Arial" w:eastAsia="Arial" w:hAnsi="Arial" w:cs="Arial"/>
          <w:color w:val="000000"/>
          <w:sz w:val="20"/>
          <w:szCs w:val="20"/>
        </w:rPr>
      </w:pPr>
      <w:r>
        <w:rPr>
          <w:rFonts w:ascii="Arial" w:eastAsia="Arial" w:hAnsi="Arial" w:cs="Arial"/>
          <w:noProof/>
          <w:color w:val="000000"/>
          <w:sz w:val="20"/>
          <w:szCs w:val="20"/>
        </w:rPr>
        <w:drawing>
          <wp:inline distT="0" distB="0" distL="0" distR="0" wp14:anchorId="7C74F118" wp14:editId="2D5215E3">
            <wp:extent cx="2623877" cy="1265586"/>
            <wp:effectExtent l="0" t="0" r="0" b="0"/>
            <wp:docPr id="2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1"/>
                    <a:srcRect/>
                    <a:stretch>
                      <a:fillRect/>
                    </a:stretch>
                  </pic:blipFill>
                  <pic:spPr>
                    <a:xfrm>
                      <a:off x="0" y="0"/>
                      <a:ext cx="2623877" cy="1265586"/>
                    </a:xfrm>
                    <a:prstGeom prst="rect">
                      <a:avLst/>
                    </a:prstGeom>
                    <a:ln/>
                  </pic:spPr>
                </pic:pic>
              </a:graphicData>
            </a:graphic>
          </wp:inline>
        </w:drawing>
      </w:r>
    </w:p>
    <w:p w14:paraId="0C8C2A01" w14:textId="77777777" w:rsidR="003D56E8" w:rsidRDefault="00AA767F">
      <w:pPr>
        <w:pBdr>
          <w:top w:val="nil"/>
          <w:left w:val="nil"/>
          <w:bottom w:val="nil"/>
          <w:right w:val="nil"/>
          <w:between w:val="nil"/>
        </w:pBdr>
        <w:spacing w:before="25"/>
        <w:ind w:left="600"/>
        <w:jc w:val="both"/>
        <w:rPr>
          <w:rFonts w:ascii="Arial" w:eastAsia="Arial" w:hAnsi="Arial" w:cs="Arial"/>
          <w:color w:val="000000"/>
          <w:sz w:val="24"/>
          <w:szCs w:val="24"/>
        </w:rPr>
      </w:pPr>
      <w:r>
        <w:rPr>
          <w:rFonts w:ascii="Arial" w:eastAsia="Arial" w:hAnsi="Arial" w:cs="Arial"/>
          <w:color w:val="000000"/>
          <w:sz w:val="24"/>
          <w:szCs w:val="24"/>
        </w:rPr>
        <w:t>Anthony Rose</w:t>
      </w:r>
    </w:p>
    <w:p w14:paraId="783412EB" w14:textId="77777777" w:rsidR="003D56E8" w:rsidRDefault="00AA767F">
      <w:pPr>
        <w:pBdr>
          <w:top w:val="nil"/>
          <w:left w:val="nil"/>
          <w:bottom w:val="nil"/>
          <w:right w:val="nil"/>
          <w:between w:val="nil"/>
        </w:pBdr>
        <w:ind w:left="600"/>
        <w:jc w:val="both"/>
        <w:rPr>
          <w:rFonts w:ascii="Arial" w:eastAsia="Arial" w:hAnsi="Arial" w:cs="Arial"/>
          <w:color w:val="000000"/>
          <w:sz w:val="24"/>
          <w:szCs w:val="24"/>
        </w:rPr>
      </w:pPr>
      <w:r>
        <w:rPr>
          <w:rFonts w:ascii="Arial" w:eastAsia="Arial" w:hAnsi="Arial" w:cs="Arial"/>
          <w:color w:val="000000"/>
          <w:sz w:val="24"/>
          <w:szCs w:val="24"/>
        </w:rPr>
        <w:t>Chair, Utility Rates Review Council of Nunavut</w:t>
      </w:r>
    </w:p>
    <w:p w14:paraId="00C6C82C" w14:textId="77777777" w:rsidR="003D56E8" w:rsidRDefault="003D56E8">
      <w:pPr>
        <w:pBdr>
          <w:top w:val="nil"/>
          <w:left w:val="nil"/>
          <w:bottom w:val="nil"/>
          <w:right w:val="nil"/>
          <w:between w:val="nil"/>
        </w:pBdr>
        <w:rPr>
          <w:rFonts w:ascii="Arial" w:eastAsia="Arial" w:hAnsi="Arial" w:cs="Arial"/>
          <w:color w:val="000000"/>
          <w:sz w:val="24"/>
          <w:szCs w:val="24"/>
        </w:rPr>
      </w:pPr>
    </w:p>
    <w:p w14:paraId="64F9EAC4" w14:textId="451E3236" w:rsidR="003D56E8" w:rsidRDefault="00AA767F">
      <w:pPr>
        <w:tabs>
          <w:tab w:val="left" w:pos="1317"/>
        </w:tabs>
        <w:spacing w:line="276" w:lineRule="auto"/>
        <w:ind w:left="599"/>
        <w:rPr>
          <w:rFonts w:ascii="Arial" w:eastAsia="Arial" w:hAnsi="Arial" w:cs="Arial"/>
        </w:rPr>
      </w:pPr>
      <w:r>
        <w:rPr>
          <w:rFonts w:ascii="Arial" w:eastAsia="Arial" w:hAnsi="Arial" w:cs="Arial"/>
          <w:sz w:val="24"/>
          <w:szCs w:val="24"/>
        </w:rPr>
        <w:t>CC:</w:t>
      </w:r>
      <w:r>
        <w:rPr>
          <w:rFonts w:ascii="Arial" w:eastAsia="Arial" w:hAnsi="Arial" w:cs="Arial"/>
          <w:sz w:val="24"/>
          <w:szCs w:val="24"/>
        </w:rPr>
        <w:tab/>
      </w:r>
      <w:r>
        <w:rPr>
          <w:rFonts w:ascii="Arial" w:eastAsia="Arial" w:hAnsi="Arial" w:cs="Arial"/>
        </w:rPr>
        <w:t xml:space="preserve">Premier Joe </w:t>
      </w:r>
      <w:proofErr w:type="spellStart"/>
      <w:r>
        <w:rPr>
          <w:rFonts w:ascii="Arial" w:eastAsia="Arial" w:hAnsi="Arial" w:cs="Arial"/>
        </w:rPr>
        <w:t>Savikataaq</w:t>
      </w:r>
      <w:proofErr w:type="spellEnd"/>
      <w:r>
        <w:rPr>
          <w:rFonts w:ascii="Arial" w:eastAsia="Arial" w:hAnsi="Arial" w:cs="Arial"/>
        </w:rPr>
        <w:t xml:space="preserve">, Minister </w:t>
      </w:r>
      <w:r w:rsidR="00616933">
        <w:rPr>
          <w:rFonts w:ascii="Arial" w:eastAsia="Arial" w:hAnsi="Arial" w:cs="Arial"/>
        </w:rPr>
        <w:t>R</w:t>
      </w:r>
      <w:r>
        <w:rPr>
          <w:rFonts w:ascii="Arial" w:eastAsia="Arial" w:hAnsi="Arial" w:cs="Arial"/>
        </w:rPr>
        <w:t>esponsible for URRC</w:t>
      </w:r>
    </w:p>
    <w:p w14:paraId="02284AB8" w14:textId="77777777" w:rsidR="00616933" w:rsidRDefault="00AA767F">
      <w:pPr>
        <w:ind w:left="1317" w:right="1044"/>
        <w:rPr>
          <w:rFonts w:ascii="Arial" w:eastAsia="Arial" w:hAnsi="Arial" w:cs="Arial"/>
        </w:rPr>
      </w:pPr>
      <w:r>
        <w:rPr>
          <w:rFonts w:ascii="Arial" w:eastAsia="Arial" w:hAnsi="Arial" w:cs="Arial"/>
        </w:rPr>
        <w:t xml:space="preserve">William MacKay, Deputy Minister, Executive and Intergovernmental Affairs </w:t>
      </w:r>
    </w:p>
    <w:p w14:paraId="62B0568A" w14:textId="5EC72180" w:rsidR="003D56E8" w:rsidRDefault="00AA767F">
      <w:pPr>
        <w:ind w:left="1317" w:right="1044"/>
        <w:rPr>
          <w:rFonts w:ascii="Arial" w:eastAsia="Arial" w:hAnsi="Arial" w:cs="Arial"/>
        </w:rPr>
      </w:pPr>
      <w:r>
        <w:rPr>
          <w:rFonts w:ascii="Arial" w:eastAsia="Arial" w:hAnsi="Arial" w:cs="Arial"/>
        </w:rPr>
        <w:t>Jamie Flaherty, Acting President, Qulliq Energy Corporation</w:t>
      </w:r>
    </w:p>
    <w:p w14:paraId="21F4E2AC" w14:textId="77777777" w:rsidR="003D56E8" w:rsidRDefault="00AA767F">
      <w:pPr>
        <w:ind w:left="1317"/>
        <w:rPr>
          <w:rFonts w:ascii="Arial" w:eastAsia="Arial" w:hAnsi="Arial" w:cs="Arial"/>
        </w:rPr>
      </w:pPr>
      <w:r>
        <w:rPr>
          <w:rFonts w:ascii="Arial" w:eastAsia="Arial" w:hAnsi="Arial" w:cs="Arial"/>
        </w:rPr>
        <w:t>Theresa Fox-Mansell, Acting Executive Director, URRC</w:t>
      </w:r>
    </w:p>
    <w:p w14:paraId="4AA8A199" w14:textId="77777777" w:rsidR="003D56E8" w:rsidRDefault="00AA767F">
      <w:pPr>
        <w:pBdr>
          <w:top w:val="nil"/>
          <w:left w:val="nil"/>
          <w:bottom w:val="nil"/>
          <w:right w:val="nil"/>
          <w:between w:val="nil"/>
        </w:pBdr>
        <w:spacing w:before="4"/>
        <w:rPr>
          <w:rFonts w:ascii="Arial" w:eastAsia="Arial" w:hAnsi="Arial" w:cs="Arial"/>
          <w:color w:val="000000"/>
          <w:sz w:val="25"/>
          <w:szCs w:val="25"/>
        </w:rPr>
      </w:pPr>
      <w:r>
        <w:rPr>
          <w:noProof/>
        </w:rPr>
        <mc:AlternateContent>
          <mc:Choice Requires="wps">
            <w:drawing>
              <wp:anchor distT="0" distB="0" distL="0" distR="0" simplePos="0" relativeHeight="251658240" behindDoc="0" locked="0" layoutInCell="1" hidden="0" allowOverlap="1" wp14:anchorId="411E7C28" wp14:editId="498DEA70">
                <wp:simplePos x="0" y="0"/>
                <wp:positionH relativeFrom="column">
                  <wp:posOffset>190500</wp:posOffset>
                </wp:positionH>
                <wp:positionV relativeFrom="paragraph">
                  <wp:posOffset>203200</wp:posOffset>
                </wp:positionV>
                <wp:extent cx="5842000" cy="25400"/>
                <wp:effectExtent l="0" t="0" r="0" b="0"/>
                <wp:wrapTopAndBottom distT="0" distB="0"/>
                <wp:docPr id="18" name="Straight Arrow Connector 18"/>
                <wp:cNvGraphicFramePr/>
                <a:graphic xmlns:a="http://schemas.openxmlformats.org/drawingml/2006/main">
                  <a:graphicData uri="http://schemas.microsoft.com/office/word/2010/wordprocessingShape">
                    <wps:wsp>
                      <wps:cNvCnPr/>
                      <wps:spPr>
                        <a:xfrm>
                          <a:off x="2431350" y="3773650"/>
                          <a:ext cx="5829300" cy="12700"/>
                        </a:xfrm>
                        <a:prstGeom prst="straightConnector1">
                          <a:avLst/>
                        </a:prstGeom>
                        <a:noFill/>
                        <a:ln w="12700" cap="flat" cmpd="sng">
                          <a:solidFill>
                            <a:srgbClr val="0092D5"/>
                          </a:solidFill>
                          <a:prstDash val="solid"/>
                          <a:round/>
                          <a:headEnd type="none" w="med" len="med"/>
                          <a:tailEnd type="none" w="med" len="med"/>
                        </a:ln>
                      </wps:spPr>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8879840" id="_x0000_t32" coordsize="21600,21600" o:spt="32" o:oned="t" path="m,l21600,21600e" filled="f">
                <v:path arrowok="t" fillok="f" o:connecttype="none"/>
                <o:lock v:ext="edit" shapetype="t"/>
              </v:shapetype>
              <v:shape id="Straight Arrow Connector 18" o:spid="_x0000_s1026" type="#_x0000_t32" style="position:absolute;margin-left:15pt;margin-top:16pt;width:460pt;height:2pt;z-index:251658240;visibility:visible;mso-wrap-style:square;mso-wrap-distance-left:0;mso-wrap-distance-top:0;mso-wrap-distance-right:0;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" strokecolor="#0092d5" strokeweight="1pt">
                <w10:wrap type="topAndBottom"/>
              </v:shape>
            </w:pict>
          </mc:Fallback>
        </mc:AlternateContent>
      </w:r>
    </w:p>
    <w:p w14:paraId="424C3E80" w14:textId="77777777" w:rsidR="003D56E8" w:rsidRDefault="003D56E8">
      <w:pPr>
        <w:pBdr>
          <w:top w:val="nil"/>
          <w:left w:val="nil"/>
          <w:bottom w:val="nil"/>
          <w:right w:val="nil"/>
          <w:between w:val="nil"/>
        </w:pBdr>
        <w:rPr>
          <w:rFonts w:ascii="Arial" w:eastAsia="Arial" w:hAnsi="Arial" w:cs="Arial"/>
          <w:color w:val="000000"/>
          <w:sz w:val="24"/>
          <w:szCs w:val="24"/>
        </w:rPr>
      </w:pPr>
    </w:p>
    <w:p w14:paraId="02069F21" w14:textId="77777777" w:rsidR="003D56E8" w:rsidRDefault="00AA767F">
      <w:pPr>
        <w:spacing w:before="190"/>
        <w:ind w:left="350"/>
      </w:pPr>
      <w:r>
        <w:rPr>
          <w:color w:val="0070C0"/>
        </w:rPr>
        <w:t xml:space="preserve">P.O. BOX 1000, STN 200, IQALUIT, NU, X0A 0H0, </w:t>
      </w:r>
      <w:hyperlink r:id="rId12">
        <w:r>
          <w:rPr>
            <w:color w:val="0070C0"/>
          </w:rPr>
          <w:t xml:space="preserve">URRC@GOV.NU.CA </w:t>
        </w:r>
      </w:hyperlink>
      <w:hyperlink r:id="rId13">
        <w:r>
          <w:rPr>
            <w:color w:val="0070C0"/>
          </w:rPr>
          <w:t>www.URRC.gov.nu.ca</w:t>
        </w:r>
      </w:hyperlink>
    </w:p>
    <w:p w14:paraId="5313544F" w14:textId="77777777" w:rsidR="003D56E8" w:rsidRDefault="003D56E8">
      <w:pPr>
        <w:sectPr w:rsidR="003D56E8">
          <w:pgSz w:w="12240" w:h="15840"/>
          <w:pgMar w:top="1500" w:right="1420" w:bottom="280" w:left="1200" w:header="720" w:footer="720" w:gutter="0"/>
          <w:pgNumType w:start="1"/>
          <w:cols w:space="720" w:equalWidth="0">
            <w:col w:w="9360"/>
          </w:cols>
        </w:sectPr>
      </w:pPr>
    </w:p>
    <w:p w14:paraId="279631B2" w14:textId="77777777" w:rsidR="003D56E8" w:rsidRDefault="003D56E8">
      <w:pPr>
        <w:pBdr>
          <w:top w:val="nil"/>
          <w:left w:val="nil"/>
          <w:bottom w:val="nil"/>
          <w:right w:val="nil"/>
          <w:between w:val="nil"/>
        </w:pBdr>
        <w:rPr>
          <w:color w:val="000000"/>
          <w:sz w:val="20"/>
          <w:szCs w:val="20"/>
        </w:rPr>
      </w:pPr>
    </w:p>
    <w:p w14:paraId="47FD3FB9" w14:textId="77777777" w:rsidR="003D56E8" w:rsidRDefault="003D56E8">
      <w:pPr>
        <w:pBdr>
          <w:top w:val="nil"/>
          <w:left w:val="nil"/>
          <w:bottom w:val="nil"/>
          <w:right w:val="nil"/>
          <w:between w:val="nil"/>
        </w:pBdr>
        <w:rPr>
          <w:color w:val="000000"/>
          <w:sz w:val="20"/>
          <w:szCs w:val="20"/>
        </w:rPr>
      </w:pPr>
    </w:p>
    <w:p w14:paraId="59826FAD" w14:textId="77777777" w:rsidR="003D56E8" w:rsidRDefault="003D56E8">
      <w:pPr>
        <w:pBdr>
          <w:top w:val="nil"/>
          <w:left w:val="nil"/>
          <w:bottom w:val="nil"/>
          <w:right w:val="nil"/>
          <w:between w:val="nil"/>
        </w:pBdr>
        <w:spacing w:before="9"/>
        <w:rPr>
          <w:color w:val="000000"/>
          <w:sz w:val="11"/>
          <w:szCs w:val="11"/>
        </w:rPr>
      </w:pPr>
    </w:p>
    <w:p w14:paraId="7C032705" w14:textId="77777777" w:rsidR="003D56E8" w:rsidRDefault="00AA767F">
      <w:pPr>
        <w:pBdr>
          <w:top w:val="nil"/>
          <w:left w:val="nil"/>
          <w:bottom w:val="nil"/>
          <w:right w:val="nil"/>
          <w:between w:val="nil"/>
        </w:pBdr>
        <w:ind w:left="353"/>
        <w:rPr>
          <w:color w:val="000000"/>
          <w:sz w:val="20"/>
          <w:szCs w:val="20"/>
        </w:rPr>
      </w:pPr>
      <w:r>
        <w:rPr>
          <w:noProof/>
          <w:color w:val="000000"/>
          <w:sz w:val="20"/>
          <w:szCs w:val="20"/>
        </w:rPr>
        <w:drawing>
          <wp:inline distT="0" distB="0" distL="0" distR="0" wp14:anchorId="6467B7B5" wp14:editId="79FF7F9B">
            <wp:extent cx="5664310" cy="2029968"/>
            <wp:effectExtent l="0" t="0" r="0" b="0"/>
            <wp:docPr id="21" name="image4.jpg" descr="URCCLogo"/>
            <wp:cNvGraphicFramePr/>
            <a:graphic xmlns:a="http://schemas.openxmlformats.org/drawingml/2006/main">
              <a:graphicData uri="http://schemas.openxmlformats.org/drawingml/2006/picture">
                <pic:pic xmlns:pic="http://schemas.openxmlformats.org/drawingml/2006/picture">
                  <pic:nvPicPr>
                    <pic:cNvPr id="0" name="image4.jpg" descr="URCCLogo"/>
                    <pic:cNvPicPr preferRelativeResize="0"/>
                  </pic:nvPicPr>
                  <pic:blipFill>
                    <a:blip r:embed="rId14"/>
                    <a:srcRect/>
                    <a:stretch>
                      <a:fillRect/>
                    </a:stretch>
                  </pic:blipFill>
                  <pic:spPr>
                    <a:xfrm>
                      <a:off x="0" y="0"/>
                      <a:ext cx="5664310" cy="2029968"/>
                    </a:xfrm>
                    <a:prstGeom prst="rect">
                      <a:avLst/>
                    </a:prstGeom>
                    <a:ln/>
                  </pic:spPr>
                </pic:pic>
              </a:graphicData>
            </a:graphic>
          </wp:inline>
        </w:drawing>
      </w:r>
    </w:p>
    <w:p w14:paraId="1FFCEF97" w14:textId="77777777" w:rsidR="003D56E8" w:rsidRPr="006157F0" w:rsidRDefault="003D56E8">
      <w:pPr>
        <w:pBdr>
          <w:top w:val="nil"/>
          <w:left w:val="nil"/>
          <w:bottom w:val="nil"/>
          <w:right w:val="nil"/>
          <w:between w:val="nil"/>
        </w:pBdr>
        <w:rPr>
          <w:color w:val="000000"/>
          <w:sz w:val="28"/>
          <w:szCs w:val="28"/>
        </w:rPr>
      </w:pPr>
    </w:p>
    <w:p w14:paraId="45804899" w14:textId="77777777" w:rsidR="003D56E8" w:rsidRDefault="00AA767F" w:rsidP="009838D8">
      <w:pPr>
        <w:pStyle w:val="Heading1"/>
        <w:spacing w:before="89"/>
        <w:ind w:left="451" w:right="-100"/>
        <w:jc w:val="left"/>
      </w:pPr>
      <w:bookmarkStart w:id="2" w:name="bookmark=id.30j0zll" w:colFirst="0" w:colLast="0"/>
      <w:bookmarkEnd w:id="2"/>
      <w:r>
        <w:t>Report to the Minister Responsible for the Qulliq Energy Corporation On:</w:t>
      </w:r>
    </w:p>
    <w:p w14:paraId="656E0021" w14:textId="77777777" w:rsidR="003D56E8" w:rsidRDefault="003D56E8">
      <w:pPr>
        <w:pBdr>
          <w:top w:val="nil"/>
          <w:left w:val="nil"/>
          <w:bottom w:val="nil"/>
          <w:right w:val="nil"/>
          <w:between w:val="nil"/>
        </w:pBdr>
        <w:spacing w:before="9"/>
        <w:rPr>
          <w:b/>
          <w:color w:val="000000"/>
          <w:sz w:val="27"/>
          <w:szCs w:val="27"/>
        </w:rPr>
      </w:pPr>
    </w:p>
    <w:p w14:paraId="4807D711" w14:textId="77777777" w:rsidR="003D56E8" w:rsidRDefault="00AA767F">
      <w:pPr>
        <w:spacing w:line="242" w:lineRule="auto"/>
        <w:ind w:left="515" w:right="519"/>
        <w:jc w:val="center"/>
        <w:rPr>
          <w:b/>
          <w:sz w:val="28"/>
          <w:szCs w:val="28"/>
        </w:rPr>
      </w:pPr>
      <w:r>
        <w:rPr>
          <w:b/>
          <w:sz w:val="28"/>
          <w:szCs w:val="28"/>
        </w:rPr>
        <w:t>The Application for Commercial and Institutional Power Producers Pricing Structure</w:t>
      </w:r>
    </w:p>
    <w:p w14:paraId="6FD28249" w14:textId="77777777" w:rsidR="003D56E8" w:rsidRDefault="003D56E8">
      <w:pPr>
        <w:pBdr>
          <w:top w:val="nil"/>
          <w:left w:val="nil"/>
          <w:bottom w:val="nil"/>
          <w:right w:val="nil"/>
          <w:between w:val="nil"/>
        </w:pBdr>
        <w:rPr>
          <w:b/>
          <w:color w:val="000000"/>
          <w:sz w:val="30"/>
          <w:szCs w:val="30"/>
        </w:rPr>
      </w:pPr>
    </w:p>
    <w:p w14:paraId="79DD25EC" w14:textId="77777777" w:rsidR="003D56E8" w:rsidRDefault="003D56E8">
      <w:pPr>
        <w:pBdr>
          <w:top w:val="nil"/>
          <w:left w:val="nil"/>
          <w:bottom w:val="nil"/>
          <w:right w:val="nil"/>
          <w:between w:val="nil"/>
        </w:pBdr>
        <w:spacing w:before="7"/>
        <w:rPr>
          <w:b/>
          <w:color w:val="000000"/>
          <w:sz w:val="25"/>
          <w:szCs w:val="25"/>
        </w:rPr>
      </w:pPr>
    </w:p>
    <w:p w14:paraId="3404D53B" w14:textId="77777777" w:rsidR="003D56E8" w:rsidRDefault="00AA767F">
      <w:pPr>
        <w:ind w:left="515" w:right="515"/>
        <w:jc w:val="center"/>
        <w:rPr>
          <w:b/>
          <w:sz w:val="32"/>
          <w:szCs w:val="32"/>
        </w:rPr>
      </w:pPr>
      <w:r>
        <w:rPr>
          <w:b/>
          <w:sz w:val="32"/>
          <w:szCs w:val="32"/>
        </w:rPr>
        <w:t>Report 2020-04</w:t>
      </w:r>
    </w:p>
    <w:p w14:paraId="38751412" w14:textId="77777777" w:rsidR="003D56E8" w:rsidRDefault="003D56E8">
      <w:pPr>
        <w:pBdr>
          <w:top w:val="nil"/>
          <w:left w:val="nil"/>
          <w:bottom w:val="nil"/>
          <w:right w:val="nil"/>
          <w:between w:val="nil"/>
        </w:pBdr>
        <w:rPr>
          <w:b/>
          <w:color w:val="000000"/>
          <w:sz w:val="34"/>
          <w:szCs w:val="34"/>
        </w:rPr>
      </w:pPr>
    </w:p>
    <w:p w14:paraId="7E8FD5FF" w14:textId="77777777" w:rsidR="003D56E8" w:rsidRDefault="003D56E8">
      <w:pPr>
        <w:pBdr>
          <w:top w:val="nil"/>
          <w:left w:val="nil"/>
          <w:bottom w:val="nil"/>
          <w:right w:val="nil"/>
          <w:between w:val="nil"/>
        </w:pBdr>
        <w:rPr>
          <w:b/>
          <w:color w:val="000000"/>
          <w:sz w:val="34"/>
          <w:szCs w:val="34"/>
        </w:rPr>
      </w:pPr>
    </w:p>
    <w:p w14:paraId="6F118135" w14:textId="77777777" w:rsidR="003D56E8" w:rsidRDefault="003D56E8">
      <w:pPr>
        <w:pBdr>
          <w:top w:val="nil"/>
          <w:left w:val="nil"/>
          <w:bottom w:val="nil"/>
          <w:right w:val="nil"/>
          <w:between w:val="nil"/>
        </w:pBdr>
        <w:rPr>
          <w:b/>
          <w:color w:val="000000"/>
          <w:sz w:val="34"/>
          <w:szCs w:val="34"/>
        </w:rPr>
      </w:pPr>
    </w:p>
    <w:p w14:paraId="0D96CBE9" w14:textId="77777777" w:rsidR="003D56E8" w:rsidRDefault="003D56E8">
      <w:pPr>
        <w:pBdr>
          <w:top w:val="nil"/>
          <w:left w:val="nil"/>
          <w:bottom w:val="nil"/>
          <w:right w:val="nil"/>
          <w:between w:val="nil"/>
        </w:pBdr>
        <w:rPr>
          <w:b/>
          <w:color w:val="000000"/>
          <w:sz w:val="34"/>
          <w:szCs w:val="34"/>
        </w:rPr>
      </w:pPr>
    </w:p>
    <w:p w14:paraId="6D1974A5" w14:textId="77777777" w:rsidR="003D56E8" w:rsidRDefault="003D56E8">
      <w:pPr>
        <w:pBdr>
          <w:top w:val="nil"/>
          <w:left w:val="nil"/>
          <w:bottom w:val="nil"/>
          <w:right w:val="nil"/>
          <w:between w:val="nil"/>
        </w:pBdr>
        <w:rPr>
          <w:b/>
          <w:color w:val="000000"/>
          <w:sz w:val="34"/>
          <w:szCs w:val="34"/>
        </w:rPr>
      </w:pPr>
    </w:p>
    <w:p w14:paraId="049CD754" w14:textId="77777777" w:rsidR="003D56E8" w:rsidRDefault="003D56E8">
      <w:pPr>
        <w:pBdr>
          <w:top w:val="nil"/>
          <w:left w:val="nil"/>
          <w:bottom w:val="nil"/>
          <w:right w:val="nil"/>
          <w:between w:val="nil"/>
        </w:pBdr>
        <w:rPr>
          <w:b/>
          <w:color w:val="000000"/>
          <w:sz w:val="34"/>
          <w:szCs w:val="34"/>
        </w:rPr>
      </w:pPr>
    </w:p>
    <w:p w14:paraId="0FFD6EE3" w14:textId="77777777" w:rsidR="003D56E8" w:rsidRDefault="003D56E8">
      <w:pPr>
        <w:pBdr>
          <w:top w:val="nil"/>
          <w:left w:val="nil"/>
          <w:bottom w:val="nil"/>
          <w:right w:val="nil"/>
          <w:between w:val="nil"/>
        </w:pBdr>
        <w:rPr>
          <w:b/>
          <w:color w:val="000000"/>
          <w:sz w:val="34"/>
          <w:szCs w:val="34"/>
        </w:rPr>
      </w:pPr>
    </w:p>
    <w:p w14:paraId="0893A4E1" w14:textId="77777777" w:rsidR="003D56E8" w:rsidRDefault="003D56E8">
      <w:pPr>
        <w:pBdr>
          <w:top w:val="nil"/>
          <w:left w:val="nil"/>
          <w:bottom w:val="nil"/>
          <w:right w:val="nil"/>
          <w:between w:val="nil"/>
        </w:pBdr>
        <w:rPr>
          <w:b/>
          <w:color w:val="000000"/>
          <w:sz w:val="34"/>
          <w:szCs w:val="34"/>
        </w:rPr>
      </w:pPr>
    </w:p>
    <w:p w14:paraId="2328F7E0" w14:textId="77777777" w:rsidR="003D56E8" w:rsidRDefault="003D56E8">
      <w:pPr>
        <w:pBdr>
          <w:top w:val="nil"/>
          <w:left w:val="nil"/>
          <w:bottom w:val="nil"/>
          <w:right w:val="nil"/>
          <w:between w:val="nil"/>
        </w:pBdr>
        <w:rPr>
          <w:b/>
          <w:color w:val="000000"/>
          <w:sz w:val="34"/>
          <w:szCs w:val="34"/>
        </w:rPr>
      </w:pPr>
    </w:p>
    <w:p w14:paraId="75B9FF53" w14:textId="6C1C2902" w:rsidR="003D56E8" w:rsidRDefault="00AA767F">
      <w:pPr>
        <w:pStyle w:val="Heading1"/>
        <w:spacing w:before="204"/>
        <w:ind w:right="515" w:firstLine="515"/>
      </w:pPr>
      <w:r>
        <w:t xml:space="preserve">October </w:t>
      </w:r>
      <w:r w:rsidR="00780B8A">
        <w:t>6</w:t>
      </w:r>
      <w:r>
        <w:t>, 2020</w:t>
      </w:r>
    </w:p>
    <w:p w14:paraId="7B8500C5" w14:textId="77777777" w:rsidR="003D56E8" w:rsidRDefault="003D56E8">
      <w:pPr>
        <w:sectPr w:rsidR="003D56E8">
          <w:pgSz w:w="12240" w:h="15840"/>
          <w:pgMar w:top="1500" w:right="1420" w:bottom="280" w:left="1200" w:header="720" w:footer="720" w:gutter="0"/>
          <w:cols w:space="720" w:equalWidth="0">
            <w:col w:w="9360"/>
          </w:cols>
        </w:sectPr>
      </w:pPr>
    </w:p>
    <w:p w14:paraId="387B7BE1" w14:textId="77777777" w:rsidR="003D56E8" w:rsidRDefault="00AA767F">
      <w:pPr>
        <w:pStyle w:val="Heading2"/>
        <w:spacing w:before="79"/>
        <w:ind w:left="515" w:right="519"/>
        <w:jc w:val="center"/>
      </w:pPr>
      <w:bookmarkStart w:id="3" w:name="bookmark=id.1fob9te" w:colFirst="0" w:colLast="0"/>
      <w:bookmarkEnd w:id="3"/>
      <w:r>
        <w:lastRenderedPageBreak/>
        <w:t>UTILITY RATES REVIEW COUNCIL OF NUNAVUT</w:t>
      </w:r>
    </w:p>
    <w:p w14:paraId="744C3962" w14:textId="4CD14873" w:rsidR="003D56E8" w:rsidRDefault="003D56E8">
      <w:pPr>
        <w:pBdr>
          <w:top w:val="nil"/>
          <w:left w:val="nil"/>
          <w:bottom w:val="nil"/>
          <w:right w:val="nil"/>
          <w:between w:val="nil"/>
        </w:pBdr>
        <w:rPr>
          <w:b/>
          <w:color w:val="000000"/>
          <w:sz w:val="20"/>
          <w:szCs w:val="20"/>
        </w:rPr>
      </w:pPr>
    </w:p>
    <w:p w14:paraId="13D53B85" w14:textId="76592BB0" w:rsidR="006157F0" w:rsidRDefault="006157F0">
      <w:pPr>
        <w:pBdr>
          <w:top w:val="nil"/>
          <w:left w:val="nil"/>
          <w:bottom w:val="nil"/>
          <w:right w:val="nil"/>
          <w:between w:val="nil"/>
        </w:pBdr>
        <w:rPr>
          <w:b/>
          <w:color w:val="000000"/>
          <w:sz w:val="20"/>
          <w:szCs w:val="20"/>
        </w:rPr>
      </w:pPr>
    </w:p>
    <w:p w14:paraId="55EDFEFD" w14:textId="77777777" w:rsidR="006157F0" w:rsidRDefault="006157F0">
      <w:pPr>
        <w:pBdr>
          <w:top w:val="nil"/>
          <w:left w:val="nil"/>
          <w:bottom w:val="nil"/>
          <w:right w:val="nil"/>
          <w:between w:val="nil"/>
        </w:pBdr>
        <w:rPr>
          <w:b/>
          <w:color w:val="000000"/>
          <w:sz w:val="20"/>
          <w:szCs w:val="20"/>
        </w:rPr>
      </w:pPr>
    </w:p>
    <w:p w14:paraId="1B81CAC5" w14:textId="77777777" w:rsidR="003D56E8" w:rsidRDefault="003D56E8">
      <w:pPr>
        <w:pBdr>
          <w:top w:val="nil"/>
          <w:left w:val="nil"/>
          <w:bottom w:val="nil"/>
          <w:right w:val="nil"/>
          <w:between w:val="nil"/>
        </w:pBdr>
        <w:rPr>
          <w:b/>
          <w:color w:val="000000"/>
          <w:sz w:val="20"/>
          <w:szCs w:val="20"/>
        </w:rPr>
      </w:pPr>
    </w:p>
    <w:p w14:paraId="5D4CA3E2" w14:textId="77777777" w:rsidR="003D56E8" w:rsidRDefault="003D56E8">
      <w:pPr>
        <w:rPr>
          <w:sz w:val="20"/>
          <w:szCs w:val="20"/>
        </w:rPr>
        <w:sectPr w:rsidR="003D56E8">
          <w:pgSz w:w="12240" w:h="15840"/>
          <w:pgMar w:top="1420" w:right="1420" w:bottom="280" w:left="1200" w:header="720" w:footer="720" w:gutter="0"/>
          <w:cols w:space="720" w:equalWidth="0">
            <w:col w:w="9360"/>
          </w:cols>
        </w:sectPr>
      </w:pPr>
    </w:p>
    <w:p w14:paraId="6037F768" w14:textId="77777777" w:rsidR="003D56E8" w:rsidRDefault="003D56E8">
      <w:pPr>
        <w:pBdr>
          <w:top w:val="nil"/>
          <w:left w:val="nil"/>
          <w:bottom w:val="nil"/>
          <w:right w:val="nil"/>
          <w:between w:val="nil"/>
        </w:pBdr>
        <w:spacing w:before="1"/>
        <w:rPr>
          <w:b/>
          <w:color w:val="000000"/>
          <w:sz w:val="23"/>
          <w:szCs w:val="23"/>
        </w:rPr>
      </w:pPr>
    </w:p>
    <w:p w14:paraId="5E1B369B" w14:textId="77777777" w:rsidR="003D56E8" w:rsidRDefault="00AA767F">
      <w:pPr>
        <w:ind w:left="240"/>
        <w:rPr>
          <w:b/>
          <w:sz w:val="24"/>
          <w:szCs w:val="24"/>
        </w:rPr>
      </w:pPr>
      <w:r>
        <w:rPr>
          <w:b/>
          <w:sz w:val="24"/>
          <w:szCs w:val="24"/>
          <w:u w:val="single"/>
        </w:rPr>
        <w:t>MEMBERS</w:t>
      </w:r>
    </w:p>
    <w:p w14:paraId="550AD2BE" w14:textId="77777777" w:rsidR="003D56E8" w:rsidRDefault="00AA767F">
      <w:pPr>
        <w:pBdr>
          <w:top w:val="nil"/>
          <w:left w:val="nil"/>
          <w:bottom w:val="nil"/>
          <w:right w:val="nil"/>
          <w:between w:val="nil"/>
        </w:pBdr>
        <w:rPr>
          <w:b/>
          <w:color w:val="000000"/>
          <w:sz w:val="26"/>
          <w:szCs w:val="26"/>
        </w:rPr>
      </w:pPr>
      <w:r>
        <w:br w:type="column"/>
      </w:r>
    </w:p>
    <w:p w14:paraId="1B439539" w14:textId="77777777" w:rsidR="003D56E8" w:rsidRDefault="00AA767F" w:rsidP="00D12C74">
      <w:pPr>
        <w:pBdr>
          <w:top w:val="nil"/>
          <w:left w:val="nil"/>
          <w:bottom w:val="nil"/>
          <w:right w:val="nil"/>
          <w:between w:val="nil"/>
        </w:pBdr>
        <w:tabs>
          <w:tab w:val="left" w:pos="1440"/>
        </w:tabs>
        <w:spacing w:before="228"/>
        <w:ind w:left="-1440"/>
        <w:rPr>
          <w:color w:val="000000"/>
          <w:sz w:val="24"/>
          <w:szCs w:val="24"/>
        </w:rPr>
      </w:pPr>
      <w:r>
        <w:rPr>
          <w:color w:val="000000"/>
          <w:sz w:val="24"/>
          <w:szCs w:val="24"/>
        </w:rPr>
        <w:t>Anthony Rose</w:t>
      </w:r>
      <w:r>
        <w:rPr>
          <w:color w:val="000000"/>
          <w:sz w:val="24"/>
          <w:szCs w:val="24"/>
        </w:rPr>
        <w:tab/>
        <w:t>Chair</w:t>
      </w:r>
    </w:p>
    <w:p w14:paraId="0AC06927" w14:textId="77777777" w:rsidR="003D56E8" w:rsidRDefault="00AA767F" w:rsidP="00D12C74">
      <w:pPr>
        <w:pBdr>
          <w:top w:val="nil"/>
          <w:left w:val="nil"/>
          <w:bottom w:val="nil"/>
          <w:right w:val="nil"/>
          <w:between w:val="nil"/>
        </w:pBdr>
        <w:tabs>
          <w:tab w:val="left" w:pos="1440"/>
        </w:tabs>
        <w:spacing w:before="139"/>
        <w:ind w:left="-1440"/>
        <w:rPr>
          <w:color w:val="000000"/>
          <w:sz w:val="24"/>
          <w:szCs w:val="24"/>
        </w:rPr>
      </w:pPr>
      <w:r>
        <w:rPr>
          <w:color w:val="000000"/>
          <w:sz w:val="24"/>
          <w:szCs w:val="24"/>
        </w:rPr>
        <w:t>Graham Lock</w:t>
      </w:r>
      <w:r>
        <w:rPr>
          <w:color w:val="000000"/>
          <w:sz w:val="24"/>
          <w:szCs w:val="24"/>
        </w:rPr>
        <w:tab/>
        <w:t>Vice-Chair</w:t>
      </w:r>
    </w:p>
    <w:p w14:paraId="128EAE8C" w14:textId="77777777" w:rsidR="003D56E8" w:rsidRDefault="00AA767F" w:rsidP="00D12C74">
      <w:pPr>
        <w:pBdr>
          <w:top w:val="nil"/>
          <w:left w:val="nil"/>
          <w:bottom w:val="nil"/>
          <w:right w:val="nil"/>
          <w:between w:val="nil"/>
        </w:pBdr>
        <w:tabs>
          <w:tab w:val="left" w:pos="1440"/>
        </w:tabs>
        <w:spacing w:before="140"/>
        <w:ind w:left="-1440"/>
        <w:rPr>
          <w:color w:val="000000"/>
          <w:sz w:val="24"/>
          <w:szCs w:val="24"/>
        </w:rPr>
      </w:pPr>
      <w:r>
        <w:rPr>
          <w:color w:val="000000"/>
          <w:sz w:val="24"/>
          <w:szCs w:val="24"/>
        </w:rPr>
        <w:t>Robbin Sinclaire</w:t>
      </w:r>
      <w:r>
        <w:rPr>
          <w:color w:val="000000"/>
          <w:sz w:val="24"/>
          <w:szCs w:val="24"/>
        </w:rPr>
        <w:tab/>
        <w:t>Member</w:t>
      </w:r>
    </w:p>
    <w:p w14:paraId="06CAFF3D" w14:textId="77777777" w:rsidR="003D56E8" w:rsidRDefault="00AA767F" w:rsidP="00D12C74">
      <w:pPr>
        <w:pBdr>
          <w:top w:val="nil"/>
          <w:left w:val="nil"/>
          <w:bottom w:val="nil"/>
          <w:right w:val="nil"/>
          <w:between w:val="nil"/>
        </w:pBdr>
        <w:tabs>
          <w:tab w:val="left" w:pos="1440"/>
        </w:tabs>
        <w:spacing w:before="136"/>
        <w:ind w:left="-1440"/>
        <w:rPr>
          <w:color w:val="000000"/>
          <w:sz w:val="24"/>
          <w:szCs w:val="24"/>
        </w:rPr>
      </w:pPr>
      <w:r>
        <w:rPr>
          <w:color w:val="000000"/>
          <w:sz w:val="24"/>
          <w:szCs w:val="24"/>
        </w:rPr>
        <w:t>Nadia Ciccone</w:t>
      </w:r>
      <w:r>
        <w:rPr>
          <w:color w:val="000000"/>
          <w:sz w:val="24"/>
          <w:szCs w:val="24"/>
        </w:rPr>
        <w:tab/>
        <w:t>Member</w:t>
      </w:r>
    </w:p>
    <w:p w14:paraId="34AE7A7D" w14:textId="77777777" w:rsidR="003D56E8" w:rsidRDefault="003D56E8">
      <w:pPr>
        <w:pBdr>
          <w:top w:val="nil"/>
          <w:left w:val="nil"/>
          <w:bottom w:val="nil"/>
          <w:right w:val="nil"/>
          <w:between w:val="nil"/>
        </w:pBdr>
        <w:tabs>
          <w:tab w:val="left" w:pos="3218"/>
        </w:tabs>
        <w:spacing w:before="136"/>
        <w:ind w:left="240"/>
        <w:rPr>
          <w:color w:val="000000"/>
          <w:sz w:val="24"/>
          <w:szCs w:val="24"/>
        </w:rPr>
      </w:pPr>
    </w:p>
    <w:p w14:paraId="249DD126" w14:textId="77777777" w:rsidR="003D56E8" w:rsidRDefault="003D56E8">
      <w:pPr>
        <w:sectPr w:rsidR="003D56E8">
          <w:type w:val="continuous"/>
          <w:pgSz w:w="12240" w:h="15840"/>
          <w:pgMar w:top="1500" w:right="1420" w:bottom="280" w:left="1200" w:header="720" w:footer="720" w:gutter="0"/>
          <w:cols w:num="2" w:space="720" w:equalWidth="0">
            <w:col w:w="3363" w:space="2893"/>
            <w:col w:w="3363" w:space="0"/>
          </w:cols>
        </w:sectPr>
      </w:pPr>
    </w:p>
    <w:p w14:paraId="556D5A12" w14:textId="77777777" w:rsidR="003D56E8" w:rsidRDefault="00AA767F">
      <w:pPr>
        <w:pBdr>
          <w:top w:val="nil"/>
          <w:left w:val="nil"/>
          <w:bottom w:val="nil"/>
          <w:right w:val="nil"/>
          <w:between w:val="nil"/>
        </w:pBdr>
        <w:tabs>
          <w:tab w:val="left" w:pos="3218"/>
        </w:tabs>
        <w:spacing w:before="136"/>
        <w:ind w:left="240"/>
        <w:rPr>
          <w:color w:val="000000"/>
          <w:sz w:val="24"/>
          <w:szCs w:val="24"/>
        </w:rPr>
      </w:pPr>
      <w:r>
        <w:rPr>
          <w:color w:val="000000"/>
          <w:sz w:val="24"/>
          <w:szCs w:val="24"/>
        </w:rPr>
        <w:lastRenderedPageBreak/>
        <w:tab/>
      </w:r>
    </w:p>
    <w:p w14:paraId="5F255860" w14:textId="77777777" w:rsidR="003D56E8" w:rsidRDefault="003D56E8">
      <w:pPr>
        <w:sectPr w:rsidR="003D56E8">
          <w:type w:val="continuous"/>
          <w:pgSz w:w="12240" w:h="15840"/>
          <w:pgMar w:top="1500" w:right="1420" w:bottom="280" w:left="1200" w:header="720" w:footer="720" w:gutter="0"/>
          <w:cols w:num="2" w:space="720" w:equalWidth="0">
            <w:col w:w="3363" w:space="2893"/>
            <w:col w:w="3363" w:space="0"/>
          </w:cols>
        </w:sectPr>
      </w:pPr>
    </w:p>
    <w:p w14:paraId="36BC5409" w14:textId="77777777" w:rsidR="003D56E8" w:rsidRDefault="003D56E8">
      <w:pPr>
        <w:pBdr>
          <w:top w:val="nil"/>
          <w:left w:val="nil"/>
          <w:bottom w:val="nil"/>
          <w:right w:val="nil"/>
          <w:between w:val="nil"/>
        </w:pBdr>
        <w:rPr>
          <w:color w:val="000000"/>
          <w:sz w:val="20"/>
          <w:szCs w:val="20"/>
        </w:rPr>
      </w:pPr>
    </w:p>
    <w:p w14:paraId="71F0AC17" w14:textId="77777777" w:rsidR="003D56E8" w:rsidRDefault="003D56E8">
      <w:pPr>
        <w:pBdr>
          <w:top w:val="nil"/>
          <w:left w:val="nil"/>
          <w:bottom w:val="nil"/>
          <w:right w:val="nil"/>
          <w:between w:val="nil"/>
        </w:pBdr>
        <w:rPr>
          <w:color w:val="000000"/>
          <w:sz w:val="20"/>
          <w:szCs w:val="20"/>
        </w:rPr>
      </w:pPr>
    </w:p>
    <w:p w14:paraId="3906F1DB" w14:textId="77777777" w:rsidR="003D56E8" w:rsidRDefault="003D56E8">
      <w:pPr>
        <w:pBdr>
          <w:top w:val="nil"/>
          <w:left w:val="nil"/>
          <w:bottom w:val="nil"/>
          <w:right w:val="nil"/>
          <w:between w:val="nil"/>
        </w:pBdr>
        <w:rPr>
          <w:color w:val="000000"/>
          <w:sz w:val="20"/>
          <w:szCs w:val="20"/>
        </w:rPr>
      </w:pPr>
    </w:p>
    <w:p w14:paraId="5A793001" w14:textId="77777777" w:rsidR="003D56E8" w:rsidRDefault="003D56E8">
      <w:pPr>
        <w:pBdr>
          <w:top w:val="nil"/>
          <w:left w:val="nil"/>
          <w:bottom w:val="nil"/>
          <w:right w:val="nil"/>
          <w:between w:val="nil"/>
        </w:pBdr>
        <w:rPr>
          <w:color w:val="000000"/>
          <w:sz w:val="20"/>
          <w:szCs w:val="20"/>
        </w:rPr>
      </w:pPr>
    </w:p>
    <w:p w14:paraId="76338135" w14:textId="77777777" w:rsidR="003D56E8" w:rsidRDefault="003D56E8">
      <w:pPr>
        <w:pBdr>
          <w:top w:val="nil"/>
          <w:left w:val="nil"/>
          <w:bottom w:val="nil"/>
          <w:right w:val="nil"/>
          <w:between w:val="nil"/>
        </w:pBdr>
        <w:rPr>
          <w:color w:val="000000"/>
          <w:sz w:val="20"/>
          <w:szCs w:val="20"/>
        </w:rPr>
      </w:pPr>
    </w:p>
    <w:p w14:paraId="30F0CF35" w14:textId="77777777" w:rsidR="003D56E8" w:rsidRDefault="003D56E8">
      <w:pPr>
        <w:rPr>
          <w:sz w:val="20"/>
          <w:szCs w:val="20"/>
        </w:rPr>
        <w:sectPr w:rsidR="003D56E8">
          <w:type w:val="continuous"/>
          <w:pgSz w:w="12240" w:h="15840"/>
          <w:pgMar w:top="1500" w:right="1420" w:bottom="280" w:left="1200" w:header="720" w:footer="720" w:gutter="0"/>
          <w:cols w:space="720" w:equalWidth="0">
            <w:col w:w="9360"/>
          </w:cols>
        </w:sectPr>
      </w:pPr>
    </w:p>
    <w:p w14:paraId="2149EEF6" w14:textId="77777777" w:rsidR="003D56E8" w:rsidRDefault="00AA767F">
      <w:pPr>
        <w:spacing w:before="233"/>
        <w:ind w:left="240"/>
        <w:rPr>
          <w:b/>
          <w:sz w:val="24"/>
          <w:szCs w:val="24"/>
        </w:rPr>
      </w:pPr>
      <w:r>
        <w:rPr>
          <w:b/>
          <w:sz w:val="24"/>
          <w:szCs w:val="24"/>
          <w:u w:val="single"/>
        </w:rPr>
        <w:lastRenderedPageBreak/>
        <w:t>SUPPORT</w:t>
      </w:r>
    </w:p>
    <w:p w14:paraId="2C610A84" w14:textId="77777777" w:rsidR="003D56E8" w:rsidRDefault="00AA767F">
      <w:pPr>
        <w:pBdr>
          <w:top w:val="nil"/>
          <w:left w:val="nil"/>
          <w:bottom w:val="nil"/>
          <w:right w:val="nil"/>
          <w:between w:val="nil"/>
        </w:pBdr>
        <w:rPr>
          <w:b/>
          <w:color w:val="000000"/>
          <w:sz w:val="26"/>
          <w:szCs w:val="26"/>
        </w:rPr>
      </w:pPr>
      <w:r>
        <w:br w:type="column"/>
      </w:r>
    </w:p>
    <w:p w14:paraId="21DD37CE" w14:textId="77777777" w:rsidR="003D56E8" w:rsidRDefault="00AA767F" w:rsidP="00D12C74">
      <w:pPr>
        <w:pBdr>
          <w:top w:val="nil"/>
          <w:left w:val="nil"/>
          <w:bottom w:val="nil"/>
          <w:right w:val="nil"/>
          <w:between w:val="nil"/>
        </w:pBdr>
        <w:tabs>
          <w:tab w:val="left" w:pos="1440"/>
        </w:tabs>
        <w:spacing w:before="208"/>
        <w:ind w:left="-1440"/>
        <w:rPr>
          <w:color w:val="000000"/>
          <w:sz w:val="24"/>
          <w:szCs w:val="24"/>
        </w:rPr>
      </w:pPr>
      <w:r>
        <w:rPr>
          <w:color w:val="000000"/>
          <w:sz w:val="24"/>
          <w:szCs w:val="24"/>
        </w:rPr>
        <w:t>Laurie-Anne White</w:t>
      </w:r>
      <w:r>
        <w:rPr>
          <w:color w:val="000000"/>
          <w:sz w:val="24"/>
          <w:szCs w:val="24"/>
        </w:rPr>
        <w:tab/>
        <w:t>Executive Director</w:t>
      </w:r>
    </w:p>
    <w:p w14:paraId="3EB2A91C" w14:textId="77777777" w:rsidR="003D56E8" w:rsidRDefault="00AA767F" w:rsidP="00D12C74">
      <w:pPr>
        <w:pBdr>
          <w:top w:val="nil"/>
          <w:left w:val="nil"/>
          <w:bottom w:val="nil"/>
          <w:right w:val="nil"/>
          <w:between w:val="nil"/>
        </w:pBdr>
        <w:tabs>
          <w:tab w:val="left" w:pos="1440"/>
        </w:tabs>
        <w:spacing w:before="208"/>
        <w:ind w:left="-1440"/>
        <w:rPr>
          <w:color w:val="000000"/>
          <w:sz w:val="24"/>
          <w:szCs w:val="24"/>
        </w:rPr>
      </w:pPr>
      <w:r>
        <w:rPr>
          <w:color w:val="000000"/>
          <w:sz w:val="24"/>
          <w:szCs w:val="24"/>
        </w:rPr>
        <w:t>Theresa Fox-Mansell</w:t>
      </w:r>
      <w:r>
        <w:rPr>
          <w:color w:val="000000"/>
          <w:sz w:val="24"/>
          <w:szCs w:val="24"/>
        </w:rPr>
        <w:tab/>
        <w:t>Acting Executive</w:t>
      </w:r>
      <w:r>
        <w:rPr>
          <w:color w:val="000000"/>
          <w:sz w:val="24"/>
          <w:szCs w:val="24"/>
        </w:rPr>
        <w:tab/>
        <w:t>Director</w:t>
      </w:r>
    </w:p>
    <w:p w14:paraId="670E77C1" w14:textId="77777777" w:rsidR="003D56E8" w:rsidRDefault="00AA767F" w:rsidP="00D12C74">
      <w:pPr>
        <w:pBdr>
          <w:top w:val="nil"/>
          <w:left w:val="nil"/>
          <w:bottom w:val="nil"/>
          <w:right w:val="nil"/>
          <w:between w:val="nil"/>
        </w:pBdr>
        <w:tabs>
          <w:tab w:val="left" w:pos="1440"/>
        </w:tabs>
        <w:spacing w:before="139"/>
        <w:ind w:left="-1440"/>
        <w:rPr>
          <w:color w:val="000000"/>
          <w:sz w:val="24"/>
          <w:szCs w:val="24"/>
        </w:rPr>
      </w:pPr>
      <w:r>
        <w:rPr>
          <w:color w:val="000000"/>
          <w:sz w:val="24"/>
          <w:szCs w:val="24"/>
        </w:rPr>
        <w:t>Wade Vienneau</w:t>
      </w:r>
      <w:r>
        <w:rPr>
          <w:color w:val="000000"/>
          <w:sz w:val="24"/>
          <w:szCs w:val="24"/>
        </w:rPr>
        <w:tab/>
        <w:t>Consultant</w:t>
      </w:r>
    </w:p>
    <w:p w14:paraId="1B4E1FAD" w14:textId="77777777" w:rsidR="003D56E8" w:rsidRDefault="003D56E8"/>
    <w:p w14:paraId="31150620" w14:textId="505D0322" w:rsidR="00D3017C" w:rsidRDefault="00D3017C">
      <w:pPr>
        <w:sectPr w:rsidR="00D3017C">
          <w:type w:val="continuous"/>
          <w:pgSz w:w="12240" w:h="15840"/>
          <w:pgMar w:top="1500" w:right="1420" w:bottom="280" w:left="1200" w:header="720" w:footer="720" w:gutter="0"/>
          <w:cols w:num="2" w:space="720" w:equalWidth="0">
            <w:col w:w="3343" w:space="2934"/>
            <w:col w:w="3343" w:space="0"/>
          </w:cols>
        </w:sectPr>
      </w:pPr>
    </w:p>
    <w:p w14:paraId="0E98B964" w14:textId="77777777" w:rsidR="003D56E8" w:rsidRDefault="00AA767F" w:rsidP="00BF701A">
      <w:pPr>
        <w:pStyle w:val="Heading2"/>
        <w:spacing w:before="68"/>
        <w:ind w:left="540"/>
      </w:pPr>
      <w:bookmarkStart w:id="4" w:name="bookmark=id.3znysh7" w:colFirst="0" w:colLast="0"/>
      <w:bookmarkEnd w:id="4"/>
      <w:r>
        <w:lastRenderedPageBreak/>
        <w:t>LIST OF ABBREVIATIONS</w:t>
      </w:r>
    </w:p>
    <w:p w14:paraId="140CFAE9" w14:textId="77777777" w:rsidR="003D56E8" w:rsidRDefault="003D56E8">
      <w:pPr>
        <w:pBdr>
          <w:top w:val="nil"/>
          <w:left w:val="nil"/>
          <w:bottom w:val="nil"/>
          <w:right w:val="nil"/>
          <w:between w:val="nil"/>
        </w:pBdr>
        <w:rPr>
          <w:b/>
          <w:color w:val="000000"/>
          <w:sz w:val="20"/>
          <w:szCs w:val="20"/>
        </w:rPr>
      </w:pPr>
    </w:p>
    <w:p w14:paraId="23022ABC" w14:textId="77777777" w:rsidR="003D56E8" w:rsidRDefault="003D56E8">
      <w:pPr>
        <w:pBdr>
          <w:top w:val="nil"/>
          <w:left w:val="nil"/>
          <w:bottom w:val="nil"/>
          <w:right w:val="nil"/>
          <w:between w:val="nil"/>
        </w:pBdr>
        <w:rPr>
          <w:b/>
          <w:color w:val="000000"/>
          <w:sz w:val="20"/>
          <w:szCs w:val="2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0"/>
        <w:gridCol w:w="6768"/>
      </w:tblGrid>
      <w:tr w:rsidR="00891467" w:rsidRPr="00891467" w14:paraId="709E9B28" w14:textId="77777777" w:rsidTr="00BF701A">
        <w:trPr>
          <w:jc w:val="center"/>
        </w:trPr>
        <w:tc>
          <w:tcPr>
            <w:tcW w:w="1530" w:type="dxa"/>
          </w:tcPr>
          <w:p w14:paraId="0F408BD5" w14:textId="1EFBE051" w:rsidR="00891467" w:rsidRPr="00891467" w:rsidRDefault="00891467" w:rsidP="00FE2CA9">
            <w:pPr>
              <w:ind w:left="160"/>
              <w:rPr>
                <w:color w:val="000000"/>
                <w:sz w:val="24"/>
                <w:szCs w:val="24"/>
              </w:rPr>
            </w:pPr>
            <w:r w:rsidRPr="00891467">
              <w:rPr>
                <w:color w:val="000000"/>
                <w:sz w:val="24"/>
                <w:szCs w:val="24"/>
              </w:rPr>
              <w:t>CCS</w:t>
            </w:r>
          </w:p>
        </w:tc>
        <w:tc>
          <w:tcPr>
            <w:tcW w:w="6768" w:type="dxa"/>
          </w:tcPr>
          <w:p w14:paraId="3A4127BF" w14:textId="5230CE0F" w:rsidR="00891467" w:rsidRPr="00891467" w:rsidRDefault="00796F0C" w:rsidP="00FE2CA9">
            <w:pPr>
              <w:spacing w:after="120"/>
              <w:ind w:left="72"/>
              <w:rPr>
                <w:color w:val="000000"/>
                <w:sz w:val="24"/>
                <w:szCs w:val="24"/>
              </w:rPr>
            </w:pPr>
            <w:r>
              <w:rPr>
                <w:color w:val="000000"/>
                <w:sz w:val="24"/>
                <w:szCs w:val="24"/>
              </w:rPr>
              <w:t>Department of Environment – Climate Change Secretariat, Government of Nunavut</w:t>
            </w:r>
          </w:p>
        </w:tc>
      </w:tr>
      <w:tr w:rsidR="00891467" w:rsidRPr="00891467" w14:paraId="7E52B811" w14:textId="77777777" w:rsidTr="00BF701A">
        <w:trPr>
          <w:jc w:val="center"/>
        </w:trPr>
        <w:tc>
          <w:tcPr>
            <w:tcW w:w="1530" w:type="dxa"/>
          </w:tcPr>
          <w:p w14:paraId="0FB34665" w14:textId="26878D38" w:rsidR="00891467" w:rsidRPr="00891467" w:rsidRDefault="00891467" w:rsidP="00FE2CA9">
            <w:pPr>
              <w:ind w:left="160"/>
              <w:rPr>
                <w:color w:val="000000"/>
                <w:sz w:val="24"/>
                <w:szCs w:val="24"/>
              </w:rPr>
            </w:pPr>
            <w:r>
              <w:rPr>
                <w:color w:val="000000"/>
                <w:sz w:val="24"/>
                <w:szCs w:val="24"/>
              </w:rPr>
              <w:t>CGS</w:t>
            </w:r>
          </w:p>
        </w:tc>
        <w:tc>
          <w:tcPr>
            <w:tcW w:w="6768" w:type="dxa"/>
          </w:tcPr>
          <w:p w14:paraId="6BA043B7" w14:textId="52984079" w:rsidR="00891467" w:rsidRPr="00891467" w:rsidRDefault="00796F0C" w:rsidP="00FE2CA9">
            <w:pPr>
              <w:spacing w:after="120"/>
              <w:ind w:left="72"/>
              <w:rPr>
                <w:color w:val="000000"/>
                <w:sz w:val="24"/>
                <w:szCs w:val="24"/>
              </w:rPr>
            </w:pPr>
            <w:r>
              <w:rPr>
                <w:color w:val="000000"/>
                <w:sz w:val="24"/>
                <w:szCs w:val="24"/>
              </w:rPr>
              <w:t>Department of Community and Government Services, Government of Nunavut</w:t>
            </w:r>
          </w:p>
        </w:tc>
      </w:tr>
      <w:tr w:rsidR="00891467" w:rsidRPr="00891467" w14:paraId="74B71675" w14:textId="77777777" w:rsidTr="00BF701A">
        <w:trPr>
          <w:jc w:val="center"/>
        </w:trPr>
        <w:tc>
          <w:tcPr>
            <w:tcW w:w="1530" w:type="dxa"/>
          </w:tcPr>
          <w:p w14:paraId="466C564B" w14:textId="4A5A8D15" w:rsidR="00891467" w:rsidRPr="00891467" w:rsidRDefault="00891467" w:rsidP="00FE2CA9">
            <w:pPr>
              <w:ind w:left="160"/>
              <w:rPr>
                <w:color w:val="000000"/>
                <w:sz w:val="24"/>
                <w:szCs w:val="24"/>
              </w:rPr>
            </w:pPr>
            <w:r>
              <w:rPr>
                <w:color w:val="000000"/>
                <w:sz w:val="24"/>
                <w:szCs w:val="24"/>
              </w:rPr>
              <w:t>CIPP</w:t>
            </w:r>
          </w:p>
        </w:tc>
        <w:tc>
          <w:tcPr>
            <w:tcW w:w="6768" w:type="dxa"/>
          </w:tcPr>
          <w:p w14:paraId="4537474C" w14:textId="7DAFEB24" w:rsidR="00891467" w:rsidRPr="00891467" w:rsidRDefault="00796F0C" w:rsidP="00FE2CA9">
            <w:pPr>
              <w:pBdr>
                <w:top w:val="nil"/>
                <w:left w:val="nil"/>
                <w:bottom w:val="nil"/>
                <w:right w:val="nil"/>
                <w:between w:val="nil"/>
              </w:pBdr>
              <w:spacing w:before="62" w:after="120"/>
              <w:ind w:left="72"/>
              <w:rPr>
                <w:color w:val="000000"/>
                <w:sz w:val="24"/>
                <w:szCs w:val="24"/>
              </w:rPr>
            </w:pPr>
            <w:r>
              <w:rPr>
                <w:color w:val="000000"/>
                <w:sz w:val="24"/>
                <w:szCs w:val="24"/>
              </w:rPr>
              <w:t>Commercial and Institutional Power Producer</w:t>
            </w:r>
          </w:p>
        </w:tc>
      </w:tr>
      <w:tr w:rsidR="00891467" w:rsidRPr="00891467" w14:paraId="5FE4B3A2" w14:textId="77777777" w:rsidTr="00BF701A">
        <w:trPr>
          <w:jc w:val="center"/>
        </w:trPr>
        <w:tc>
          <w:tcPr>
            <w:tcW w:w="1530" w:type="dxa"/>
          </w:tcPr>
          <w:p w14:paraId="2EE57D44" w14:textId="1947318F" w:rsidR="00891467" w:rsidRPr="00891467" w:rsidRDefault="00891467" w:rsidP="00FE2CA9">
            <w:pPr>
              <w:pBdr>
                <w:top w:val="nil"/>
                <w:left w:val="nil"/>
                <w:bottom w:val="nil"/>
                <w:right w:val="nil"/>
                <w:between w:val="nil"/>
              </w:pBdr>
              <w:ind w:left="160"/>
              <w:rPr>
                <w:color w:val="000000"/>
                <w:sz w:val="24"/>
                <w:szCs w:val="24"/>
              </w:rPr>
            </w:pPr>
            <w:r>
              <w:rPr>
                <w:color w:val="000000"/>
                <w:sz w:val="24"/>
                <w:szCs w:val="24"/>
              </w:rPr>
              <w:t>ED&amp;T</w:t>
            </w:r>
          </w:p>
        </w:tc>
        <w:tc>
          <w:tcPr>
            <w:tcW w:w="6768" w:type="dxa"/>
          </w:tcPr>
          <w:p w14:paraId="35036FCC" w14:textId="0A16CE67" w:rsidR="00891467" w:rsidRPr="00891467" w:rsidRDefault="00891467" w:rsidP="00FE2CA9">
            <w:pPr>
              <w:pBdr>
                <w:top w:val="nil"/>
                <w:left w:val="nil"/>
                <w:bottom w:val="nil"/>
                <w:right w:val="nil"/>
                <w:between w:val="nil"/>
              </w:pBdr>
              <w:spacing w:before="62" w:after="120"/>
              <w:ind w:left="72"/>
              <w:rPr>
                <w:color w:val="000000"/>
                <w:sz w:val="24"/>
                <w:szCs w:val="24"/>
              </w:rPr>
            </w:pPr>
            <w:r>
              <w:rPr>
                <w:color w:val="000000"/>
                <w:sz w:val="24"/>
                <w:szCs w:val="24"/>
              </w:rPr>
              <w:t>Economic Development and Transportation, Government of Nunavut</w:t>
            </w:r>
          </w:p>
        </w:tc>
      </w:tr>
      <w:tr w:rsidR="00891467" w:rsidRPr="00891467" w14:paraId="3F187FBB" w14:textId="77777777" w:rsidTr="00BF701A">
        <w:trPr>
          <w:jc w:val="center"/>
        </w:trPr>
        <w:tc>
          <w:tcPr>
            <w:tcW w:w="1530" w:type="dxa"/>
          </w:tcPr>
          <w:p w14:paraId="63CC357A" w14:textId="2DC3A14F" w:rsidR="00891467" w:rsidRPr="00891467" w:rsidRDefault="00796F0C" w:rsidP="00FE2CA9">
            <w:pPr>
              <w:pBdr>
                <w:top w:val="nil"/>
                <w:left w:val="nil"/>
                <w:bottom w:val="nil"/>
                <w:right w:val="nil"/>
                <w:between w:val="nil"/>
              </w:pBdr>
              <w:ind w:left="160"/>
              <w:rPr>
                <w:color w:val="000000"/>
                <w:sz w:val="24"/>
                <w:szCs w:val="24"/>
              </w:rPr>
            </w:pPr>
            <w:r>
              <w:rPr>
                <w:color w:val="000000"/>
                <w:sz w:val="24"/>
                <w:szCs w:val="24"/>
              </w:rPr>
              <w:t>GHG</w:t>
            </w:r>
          </w:p>
        </w:tc>
        <w:tc>
          <w:tcPr>
            <w:tcW w:w="6768" w:type="dxa"/>
          </w:tcPr>
          <w:p w14:paraId="2C2C6B2E" w14:textId="684A0466" w:rsidR="00891467" w:rsidRPr="00891467" w:rsidRDefault="00796F0C" w:rsidP="00EF501E">
            <w:pPr>
              <w:spacing w:after="120"/>
              <w:ind w:left="72"/>
              <w:rPr>
                <w:color w:val="000000"/>
                <w:sz w:val="24"/>
                <w:szCs w:val="24"/>
              </w:rPr>
            </w:pPr>
            <w:r>
              <w:rPr>
                <w:color w:val="000000"/>
                <w:sz w:val="24"/>
                <w:szCs w:val="24"/>
              </w:rPr>
              <w:t>Green</w:t>
            </w:r>
            <w:r w:rsidRPr="004D7280">
              <w:rPr>
                <w:color w:val="000000"/>
                <w:sz w:val="24"/>
                <w:szCs w:val="24"/>
              </w:rPr>
              <w:t>h</w:t>
            </w:r>
            <w:r>
              <w:rPr>
                <w:color w:val="000000"/>
                <w:sz w:val="24"/>
                <w:szCs w:val="24"/>
              </w:rPr>
              <w:t>ouse Gas</w:t>
            </w:r>
          </w:p>
        </w:tc>
      </w:tr>
      <w:tr w:rsidR="00891467" w:rsidRPr="00891467" w14:paraId="2350C6A8" w14:textId="77777777" w:rsidTr="00BF701A">
        <w:trPr>
          <w:jc w:val="center"/>
        </w:trPr>
        <w:tc>
          <w:tcPr>
            <w:tcW w:w="1530" w:type="dxa"/>
          </w:tcPr>
          <w:p w14:paraId="29E8EF5E" w14:textId="5CA37ACC" w:rsidR="00891467" w:rsidRPr="00891467" w:rsidRDefault="00796F0C" w:rsidP="00FE2CA9">
            <w:pPr>
              <w:ind w:left="160"/>
              <w:rPr>
                <w:color w:val="000000"/>
                <w:sz w:val="24"/>
                <w:szCs w:val="24"/>
              </w:rPr>
            </w:pPr>
            <w:r>
              <w:rPr>
                <w:color w:val="000000"/>
                <w:sz w:val="24"/>
                <w:szCs w:val="24"/>
              </w:rPr>
              <w:t>GLO</w:t>
            </w:r>
          </w:p>
        </w:tc>
        <w:tc>
          <w:tcPr>
            <w:tcW w:w="6768" w:type="dxa"/>
          </w:tcPr>
          <w:p w14:paraId="6833B918" w14:textId="0388689B" w:rsidR="00891467" w:rsidRPr="00891467" w:rsidRDefault="00796F0C" w:rsidP="00FE2CA9">
            <w:pPr>
              <w:spacing w:after="120"/>
              <w:ind w:left="72"/>
              <w:rPr>
                <w:color w:val="000000"/>
                <w:sz w:val="24"/>
                <w:szCs w:val="24"/>
              </w:rPr>
            </w:pPr>
            <w:r>
              <w:rPr>
                <w:color w:val="000000"/>
                <w:sz w:val="24"/>
                <w:szCs w:val="24"/>
              </w:rPr>
              <w:t>Government Liaison Officer</w:t>
            </w:r>
          </w:p>
        </w:tc>
      </w:tr>
      <w:tr w:rsidR="00891467" w:rsidRPr="00891467" w14:paraId="313B3D8B" w14:textId="77777777" w:rsidTr="00BF701A">
        <w:trPr>
          <w:jc w:val="center"/>
        </w:trPr>
        <w:tc>
          <w:tcPr>
            <w:tcW w:w="1530" w:type="dxa"/>
          </w:tcPr>
          <w:p w14:paraId="6CE1D4F3" w14:textId="634816C7" w:rsidR="00891467" w:rsidRPr="00891467" w:rsidRDefault="00796F0C" w:rsidP="00FE2CA9">
            <w:pPr>
              <w:ind w:left="160"/>
              <w:rPr>
                <w:color w:val="000000"/>
                <w:sz w:val="24"/>
                <w:szCs w:val="24"/>
              </w:rPr>
            </w:pPr>
            <w:r>
              <w:rPr>
                <w:color w:val="000000"/>
                <w:sz w:val="24"/>
                <w:szCs w:val="24"/>
              </w:rPr>
              <w:t>GN</w:t>
            </w:r>
          </w:p>
        </w:tc>
        <w:tc>
          <w:tcPr>
            <w:tcW w:w="6768" w:type="dxa"/>
          </w:tcPr>
          <w:p w14:paraId="2EB357C7" w14:textId="0AADF0F9" w:rsidR="00891467" w:rsidRPr="00891467" w:rsidRDefault="00796F0C" w:rsidP="00FE2CA9">
            <w:pPr>
              <w:spacing w:after="120"/>
              <w:ind w:left="72"/>
              <w:rPr>
                <w:color w:val="000000"/>
                <w:sz w:val="24"/>
                <w:szCs w:val="24"/>
              </w:rPr>
            </w:pPr>
            <w:r>
              <w:rPr>
                <w:color w:val="000000"/>
                <w:sz w:val="24"/>
                <w:szCs w:val="24"/>
              </w:rPr>
              <w:t>Government of Nunavut</w:t>
            </w:r>
          </w:p>
        </w:tc>
      </w:tr>
      <w:tr w:rsidR="00891467" w:rsidRPr="00891467" w14:paraId="2EC61550" w14:textId="77777777" w:rsidTr="00BF701A">
        <w:trPr>
          <w:jc w:val="center"/>
        </w:trPr>
        <w:tc>
          <w:tcPr>
            <w:tcW w:w="1530" w:type="dxa"/>
          </w:tcPr>
          <w:p w14:paraId="48B4C594" w14:textId="02527DD2" w:rsidR="00891467" w:rsidRPr="00891467" w:rsidRDefault="00796F0C" w:rsidP="00FE2CA9">
            <w:pPr>
              <w:ind w:left="160"/>
              <w:rPr>
                <w:color w:val="000000"/>
                <w:sz w:val="24"/>
                <w:szCs w:val="24"/>
              </w:rPr>
            </w:pPr>
            <w:r>
              <w:rPr>
                <w:color w:val="000000"/>
                <w:sz w:val="24"/>
                <w:szCs w:val="24"/>
              </w:rPr>
              <w:t>GRA</w:t>
            </w:r>
          </w:p>
        </w:tc>
        <w:tc>
          <w:tcPr>
            <w:tcW w:w="6768" w:type="dxa"/>
          </w:tcPr>
          <w:p w14:paraId="5A0C8E90" w14:textId="0DA415D0" w:rsidR="00891467" w:rsidRPr="00891467" w:rsidRDefault="00796F0C" w:rsidP="00FE2CA9">
            <w:pPr>
              <w:spacing w:after="120"/>
              <w:ind w:left="72"/>
              <w:rPr>
                <w:color w:val="000000"/>
                <w:sz w:val="24"/>
                <w:szCs w:val="24"/>
              </w:rPr>
            </w:pPr>
            <w:r>
              <w:rPr>
                <w:color w:val="000000"/>
                <w:sz w:val="24"/>
                <w:szCs w:val="24"/>
              </w:rPr>
              <w:t>General Rate Application</w:t>
            </w:r>
          </w:p>
        </w:tc>
      </w:tr>
      <w:tr w:rsidR="00796F0C" w:rsidRPr="00891467" w14:paraId="7CC15E78" w14:textId="77777777" w:rsidTr="00BF701A">
        <w:trPr>
          <w:jc w:val="center"/>
        </w:trPr>
        <w:tc>
          <w:tcPr>
            <w:tcW w:w="1530" w:type="dxa"/>
          </w:tcPr>
          <w:p w14:paraId="0EA3B792" w14:textId="3FEEB928" w:rsidR="00796F0C" w:rsidRPr="00891467" w:rsidRDefault="00796F0C" w:rsidP="00FE2CA9">
            <w:pPr>
              <w:ind w:left="160"/>
              <w:rPr>
                <w:color w:val="000000"/>
                <w:sz w:val="24"/>
                <w:szCs w:val="24"/>
              </w:rPr>
            </w:pPr>
            <w:r>
              <w:rPr>
                <w:color w:val="000000"/>
                <w:sz w:val="24"/>
                <w:szCs w:val="24"/>
              </w:rPr>
              <w:t>IPP</w:t>
            </w:r>
          </w:p>
        </w:tc>
        <w:tc>
          <w:tcPr>
            <w:tcW w:w="6768" w:type="dxa"/>
          </w:tcPr>
          <w:p w14:paraId="39C6052D" w14:textId="5EE218DF" w:rsidR="00796F0C" w:rsidRPr="00891467" w:rsidRDefault="00796F0C" w:rsidP="00FE2CA9">
            <w:pPr>
              <w:spacing w:after="120"/>
              <w:ind w:left="72"/>
              <w:rPr>
                <w:color w:val="000000"/>
                <w:sz w:val="24"/>
                <w:szCs w:val="24"/>
              </w:rPr>
            </w:pPr>
            <w:r>
              <w:rPr>
                <w:color w:val="000000"/>
                <w:sz w:val="24"/>
                <w:szCs w:val="24"/>
              </w:rPr>
              <w:t>Independent Power Producer</w:t>
            </w:r>
          </w:p>
        </w:tc>
      </w:tr>
      <w:tr w:rsidR="00796F0C" w:rsidRPr="00891467" w14:paraId="7B13DC69" w14:textId="77777777" w:rsidTr="00BF701A">
        <w:trPr>
          <w:jc w:val="center"/>
        </w:trPr>
        <w:tc>
          <w:tcPr>
            <w:tcW w:w="1530" w:type="dxa"/>
          </w:tcPr>
          <w:p w14:paraId="21521A9B" w14:textId="298DB06D" w:rsidR="00796F0C" w:rsidRPr="00891467" w:rsidRDefault="00796F0C" w:rsidP="00FE2CA9">
            <w:pPr>
              <w:ind w:left="160"/>
              <w:rPr>
                <w:color w:val="000000"/>
                <w:sz w:val="24"/>
                <w:szCs w:val="24"/>
              </w:rPr>
            </w:pPr>
            <w:r>
              <w:rPr>
                <w:color w:val="000000"/>
                <w:sz w:val="24"/>
                <w:szCs w:val="24"/>
              </w:rPr>
              <w:t>IR</w:t>
            </w:r>
          </w:p>
        </w:tc>
        <w:tc>
          <w:tcPr>
            <w:tcW w:w="6768" w:type="dxa"/>
          </w:tcPr>
          <w:p w14:paraId="65D36D45" w14:textId="0094BA57" w:rsidR="00796F0C" w:rsidRPr="00891467" w:rsidRDefault="00796F0C" w:rsidP="00FE2CA9">
            <w:pPr>
              <w:spacing w:after="120"/>
              <w:ind w:left="72"/>
              <w:rPr>
                <w:color w:val="000000"/>
                <w:sz w:val="24"/>
                <w:szCs w:val="24"/>
              </w:rPr>
            </w:pPr>
            <w:r>
              <w:rPr>
                <w:color w:val="000000"/>
                <w:sz w:val="24"/>
                <w:szCs w:val="24"/>
              </w:rPr>
              <w:t>Information Request</w:t>
            </w:r>
          </w:p>
        </w:tc>
      </w:tr>
      <w:tr w:rsidR="00796F0C" w:rsidRPr="00891467" w14:paraId="51FC7D6C" w14:textId="77777777" w:rsidTr="00BF701A">
        <w:trPr>
          <w:jc w:val="center"/>
        </w:trPr>
        <w:tc>
          <w:tcPr>
            <w:tcW w:w="1530" w:type="dxa"/>
          </w:tcPr>
          <w:p w14:paraId="562EB323" w14:textId="4C63EFB9" w:rsidR="00796F0C" w:rsidRPr="00891467" w:rsidRDefault="00796F0C" w:rsidP="00FE2CA9">
            <w:pPr>
              <w:ind w:left="160"/>
              <w:rPr>
                <w:color w:val="000000"/>
                <w:sz w:val="24"/>
                <w:szCs w:val="24"/>
              </w:rPr>
            </w:pPr>
            <w:r>
              <w:rPr>
                <w:color w:val="000000"/>
                <w:sz w:val="24"/>
                <w:szCs w:val="24"/>
              </w:rPr>
              <w:t>kWh</w:t>
            </w:r>
          </w:p>
        </w:tc>
        <w:tc>
          <w:tcPr>
            <w:tcW w:w="6768" w:type="dxa"/>
          </w:tcPr>
          <w:p w14:paraId="589B1EE1" w14:textId="1407FFD0" w:rsidR="00796F0C" w:rsidRPr="00891467" w:rsidRDefault="00796F0C" w:rsidP="00FE2CA9">
            <w:pPr>
              <w:spacing w:after="120"/>
              <w:ind w:left="72"/>
              <w:rPr>
                <w:color w:val="000000"/>
                <w:sz w:val="24"/>
                <w:szCs w:val="24"/>
              </w:rPr>
            </w:pPr>
            <w:r>
              <w:rPr>
                <w:color w:val="000000"/>
                <w:sz w:val="24"/>
                <w:szCs w:val="24"/>
              </w:rPr>
              <w:t>Kilowatt hour</w:t>
            </w:r>
          </w:p>
        </w:tc>
      </w:tr>
      <w:tr w:rsidR="00796F0C" w:rsidRPr="00891467" w14:paraId="091D8B5A" w14:textId="77777777" w:rsidTr="00BF701A">
        <w:trPr>
          <w:jc w:val="center"/>
        </w:trPr>
        <w:tc>
          <w:tcPr>
            <w:tcW w:w="1530" w:type="dxa"/>
          </w:tcPr>
          <w:p w14:paraId="0A6F0BD7" w14:textId="269D8C29" w:rsidR="00796F0C" w:rsidRPr="00891467" w:rsidRDefault="00796F0C" w:rsidP="00FE2CA9">
            <w:pPr>
              <w:ind w:left="160"/>
              <w:rPr>
                <w:color w:val="000000"/>
                <w:sz w:val="24"/>
                <w:szCs w:val="24"/>
              </w:rPr>
            </w:pPr>
            <w:r>
              <w:rPr>
                <w:color w:val="000000"/>
                <w:sz w:val="24"/>
                <w:szCs w:val="24"/>
              </w:rPr>
              <w:t>MLA</w:t>
            </w:r>
          </w:p>
        </w:tc>
        <w:tc>
          <w:tcPr>
            <w:tcW w:w="6768" w:type="dxa"/>
          </w:tcPr>
          <w:p w14:paraId="6125FB10" w14:textId="60782C9F" w:rsidR="00796F0C" w:rsidRPr="00891467" w:rsidRDefault="00796F0C" w:rsidP="00FE2CA9">
            <w:pPr>
              <w:spacing w:after="120"/>
              <w:ind w:left="72"/>
              <w:rPr>
                <w:color w:val="000000"/>
                <w:sz w:val="24"/>
                <w:szCs w:val="24"/>
              </w:rPr>
            </w:pPr>
            <w:r>
              <w:rPr>
                <w:color w:val="000000"/>
                <w:sz w:val="24"/>
                <w:szCs w:val="24"/>
              </w:rPr>
              <w:t>Member of the Legislative Assembly of Nunavut</w:t>
            </w:r>
          </w:p>
        </w:tc>
      </w:tr>
      <w:tr w:rsidR="00796F0C" w:rsidRPr="00891467" w14:paraId="7903DA85" w14:textId="77777777" w:rsidTr="00BF701A">
        <w:trPr>
          <w:jc w:val="center"/>
        </w:trPr>
        <w:tc>
          <w:tcPr>
            <w:tcW w:w="1530" w:type="dxa"/>
          </w:tcPr>
          <w:p w14:paraId="4D77BCCF" w14:textId="0B6FCC8D" w:rsidR="00796F0C" w:rsidRPr="00891467" w:rsidRDefault="00796F0C" w:rsidP="00FE2CA9">
            <w:pPr>
              <w:ind w:left="160"/>
              <w:rPr>
                <w:color w:val="000000"/>
                <w:sz w:val="24"/>
                <w:szCs w:val="24"/>
              </w:rPr>
            </w:pPr>
            <w:r>
              <w:rPr>
                <w:color w:val="000000"/>
                <w:sz w:val="24"/>
                <w:szCs w:val="24"/>
              </w:rPr>
              <w:t>PPA</w:t>
            </w:r>
          </w:p>
        </w:tc>
        <w:tc>
          <w:tcPr>
            <w:tcW w:w="6768" w:type="dxa"/>
          </w:tcPr>
          <w:p w14:paraId="0593251F" w14:textId="510A991C" w:rsidR="00796F0C" w:rsidRPr="00891467" w:rsidRDefault="00796F0C" w:rsidP="00FE2CA9">
            <w:pPr>
              <w:spacing w:after="120"/>
              <w:ind w:left="72"/>
              <w:rPr>
                <w:color w:val="000000"/>
                <w:sz w:val="24"/>
                <w:szCs w:val="24"/>
              </w:rPr>
            </w:pPr>
            <w:r>
              <w:rPr>
                <w:color w:val="000000"/>
                <w:sz w:val="24"/>
                <w:szCs w:val="24"/>
              </w:rPr>
              <w:t>Power Purchase Agreement</w:t>
            </w:r>
          </w:p>
        </w:tc>
      </w:tr>
      <w:tr w:rsidR="00796F0C" w:rsidRPr="00891467" w14:paraId="2E6EC174" w14:textId="77777777" w:rsidTr="00BF701A">
        <w:trPr>
          <w:jc w:val="center"/>
        </w:trPr>
        <w:tc>
          <w:tcPr>
            <w:tcW w:w="1530" w:type="dxa"/>
          </w:tcPr>
          <w:p w14:paraId="23E30C5D" w14:textId="44FDC3FE" w:rsidR="00796F0C" w:rsidRPr="00891467" w:rsidRDefault="00796F0C" w:rsidP="00FE2CA9">
            <w:pPr>
              <w:ind w:left="160"/>
              <w:rPr>
                <w:color w:val="000000"/>
                <w:sz w:val="24"/>
                <w:szCs w:val="24"/>
              </w:rPr>
            </w:pPr>
            <w:r>
              <w:rPr>
                <w:color w:val="000000"/>
                <w:sz w:val="24"/>
                <w:szCs w:val="24"/>
              </w:rPr>
              <w:t>PPD</w:t>
            </w:r>
          </w:p>
        </w:tc>
        <w:tc>
          <w:tcPr>
            <w:tcW w:w="6768" w:type="dxa"/>
          </w:tcPr>
          <w:p w14:paraId="585E22ED" w14:textId="1FD60FA9" w:rsidR="00796F0C" w:rsidRPr="00891467" w:rsidRDefault="00796F0C" w:rsidP="00FE2CA9">
            <w:pPr>
              <w:spacing w:after="120"/>
              <w:ind w:left="72"/>
              <w:rPr>
                <w:color w:val="000000"/>
                <w:sz w:val="24"/>
                <w:szCs w:val="24"/>
              </w:rPr>
            </w:pPr>
            <w:r>
              <w:rPr>
                <w:color w:val="000000"/>
                <w:sz w:val="24"/>
                <w:szCs w:val="24"/>
              </w:rPr>
              <w:t xml:space="preserve">Petroleum Products Division </w:t>
            </w:r>
          </w:p>
        </w:tc>
      </w:tr>
      <w:tr w:rsidR="00796F0C" w:rsidRPr="00891467" w14:paraId="15197C18" w14:textId="77777777" w:rsidTr="00BF701A">
        <w:trPr>
          <w:jc w:val="center"/>
        </w:trPr>
        <w:tc>
          <w:tcPr>
            <w:tcW w:w="1530" w:type="dxa"/>
          </w:tcPr>
          <w:p w14:paraId="04B045C7" w14:textId="32AE45BF" w:rsidR="00796F0C" w:rsidRPr="00891467" w:rsidRDefault="00796F0C" w:rsidP="00FE2CA9">
            <w:pPr>
              <w:ind w:left="160"/>
              <w:rPr>
                <w:color w:val="000000"/>
                <w:sz w:val="24"/>
                <w:szCs w:val="24"/>
              </w:rPr>
            </w:pPr>
            <w:r>
              <w:rPr>
                <w:color w:val="000000"/>
                <w:sz w:val="24"/>
                <w:szCs w:val="24"/>
              </w:rPr>
              <w:t>QEC</w:t>
            </w:r>
          </w:p>
        </w:tc>
        <w:tc>
          <w:tcPr>
            <w:tcW w:w="6768" w:type="dxa"/>
          </w:tcPr>
          <w:p w14:paraId="797192CB" w14:textId="72239451" w:rsidR="00796F0C" w:rsidRPr="00891467" w:rsidRDefault="003C658C" w:rsidP="00FE2CA9">
            <w:pPr>
              <w:spacing w:after="120"/>
              <w:ind w:left="72"/>
              <w:rPr>
                <w:color w:val="000000"/>
                <w:sz w:val="24"/>
                <w:szCs w:val="24"/>
              </w:rPr>
            </w:pPr>
            <w:r>
              <w:rPr>
                <w:color w:val="000000"/>
                <w:sz w:val="24"/>
                <w:szCs w:val="24"/>
              </w:rPr>
              <w:t>Qulliq Energy Corporation</w:t>
            </w:r>
          </w:p>
        </w:tc>
      </w:tr>
      <w:tr w:rsidR="00796F0C" w:rsidRPr="00891467" w14:paraId="3BD37BDD" w14:textId="77777777" w:rsidTr="00BF701A">
        <w:trPr>
          <w:jc w:val="center"/>
        </w:trPr>
        <w:tc>
          <w:tcPr>
            <w:tcW w:w="1530" w:type="dxa"/>
          </w:tcPr>
          <w:p w14:paraId="0DBA726C" w14:textId="607FE795" w:rsidR="00796F0C" w:rsidRPr="00891467" w:rsidRDefault="00796F0C" w:rsidP="00FE2CA9">
            <w:pPr>
              <w:ind w:left="160"/>
              <w:rPr>
                <w:color w:val="000000"/>
                <w:sz w:val="24"/>
                <w:szCs w:val="24"/>
              </w:rPr>
            </w:pPr>
            <w:r>
              <w:rPr>
                <w:color w:val="000000"/>
                <w:sz w:val="24"/>
                <w:szCs w:val="24"/>
              </w:rPr>
              <w:t>SAO</w:t>
            </w:r>
          </w:p>
        </w:tc>
        <w:tc>
          <w:tcPr>
            <w:tcW w:w="6768" w:type="dxa"/>
          </w:tcPr>
          <w:p w14:paraId="44C45A92" w14:textId="47B2F06A" w:rsidR="00796F0C" w:rsidRPr="00891467" w:rsidRDefault="00796F0C" w:rsidP="00FE2CA9">
            <w:pPr>
              <w:spacing w:after="120"/>
              <w:ind w:left="72"/>
              <w:rPr>
                <w:color w:val="000000"/>
                <w:sz w:val="24"/>
                <w:szCs w:val="24"/>
              </w:rPr>
            </w:pPr>
            <w:r>
              <w:rPr>
                <w:color w:val="000000"/>
                <w:sz w:val="24"/>
                <w:szCs w:val="24"/>
              </w:rPr>
              <w:t>Senior Administrative Officer</w:t>
            </w:r>
          </w:p>
        </w:tc>
      </w:tr>
      <w:tr w:rsidR="00796F0C" w:rsidRPr="00891467" w14:paraId="06DBBA54" w14:textId="77777777" w:rsidTr="00BF701A">
        <w:trPr>
          <w:jc w:val="center"/>
        </w:trPr>
        <w:tc>
          <w:tcPr>
            <w:tcW w:w="1530" w:type="dxa"/>
          </w:tcPr>
          <w:p w14:paraId="6022D59F" w14:textId="1AB60589" w:rsidR="00796F0C" w:rsidRPr="00891467" w:rsidRDefault="00796F0C" w:rsidP="00FE2CA9">
            <w:pPr>
              <w:ind w:left="160"/>
              <w:rPr>
                <w:color w:val="000000"/>
                <w:sz w:val="24"/>
                <w:szCs w:val="24"/>
              </w:rPr>
            </w:pPr>
            <w:r>
              <w:rPr>
                <w:color w:val="000000"/>
                <w:sz w:val="24"/>
                <w:szCs w:val="24"/>
              </w:rPr>
              <w:t>TIR</w:t>
            </w:r>
          </w:p>
        </w:tc>
        <w:tc>
          <w:tcPr>
            <w:tcW w:w="6768" w:type="dxa"/>
          </w:tcPr>
          <w:p w14:paraId="336A0F5A" w14:textId="591C9AC3" w:rsidR="00796F0C" w:rsidRPr="00891467" w:rsidRDefault="00796F0C" w:rsidP="00FE2CA9">
            <w:pPr>
              <w:spacing w:after="120"/>
              <w:ind w:left="72"/>
              <w:rPr>
                <w:color w:val="000000"/>
                <w:sz w:val="24"/>
                <w:szCs w:val="24"/>
              </w:rPr>
            </w:pPr>
            <w:r>
              <w:rPr>
                <w:color w:val="000000"/>
                <w:sz w:val="24"/>
                <w:szCs w:val="24"/>
              </w:rPr>
              <w:t>Technical Interconnection Requirements</w:t>
            </w:r>
          </w:p>
        </w:tc>
      </w:tr>
      <w:tr w:rsidR="00796F0C" w:rsidRPr="00891467" w14:paraId="18529A1E" w14:textId="77777777" w:rsidTr="00BF701A">
        <w:trPr>
          <w:jc w:val="center"/>
        </w:trPr>
        <w:tc>
          <w:tcPr>
            <w:tcW w:w="1530" w:type="dxa"/>
          </w:tcPr>
          <w:p w14:paraId="3687D8B2" w14:textId="29D5A3E3" w:rsidR="00796F0C" w:rsidRPr="00891467" w:rsidRDefault="00796F0C" w:rsidP="00FE2CA9">
            <w:pPr>
              <w:ind w:left="160"/>
              <w:rPr>
                <w:color w:val="000000"/>
                <w:sz w:val="24"/>
                <w:szCs w:val="24"/>
              </w:rPr>
            </w:pPr>
            <w:r>
              <w:rPr>
                <w:color w:val="000000"/>
                <w:sz w:val="24"/>
                <w:szCs w:val="24"/>
              </w:rPr>
              <w:t>URRC</w:t>
            </w:r>
          </w:p>
        </w:tc>
        <w:tc>
          <w:tcPr>
            <w:tcW w:w="6768" w:type="dxa"/>
          </w:tcPr>
          <w:p w14:paraId="1490F6A3" w14:textId="3D96878F" w:rsidR="00796F0C" w:rsidRPr="00891467" w:rsidRDefault="00796F0C" w:rsidP="00FE2CA9">
            <w:pPr>
              <w:spacing w:after="120"/>
              <w:ind w:left="72"/>
              <w:rPr>
                <w:color w:val="000000"/>
                <w:sz w:val="24"/>
                <w:szCs w:val="24"/>
              </w:rPr>
            </w:pPr>
            <w:r>
              <w:rPr>
                <w:color w:val="000000"/>
                <w:sz w:val="24"/>
                <w:szCs w:val="24"/>
              </w:rPr>
              <w:t>Utility Rates Review Council of Nunavut</w:t>
            </w:r>
          </w:p>
        </w:tc>
      </w:tr>
      <w:tr w:rsidR="00796F0C" w:rsidRPr="00891467" w14:paraId="31C1A745" w14:textId="77777777" w:rsidTr="00BF701A">
        <w:trPr>
          <w:jc w:val="center"/>
        </w:trPr>
        <w:tc>
          <w:tcPr>
            <w:tcW w:w="1530" w:type="dxa"/>
          </w:tcPr>
          <w:p w14:paraId="33EF2EA4" w14:textId="620BA55D" w:rsidR="00796F0C" w:rsidRPr="00891467" w:rsidRDefault="00BF701A" w:rsidP="00FE2CA9">
            <w:pPr>
              <w:ind w:left="160"/>
              <w:rPr>
                <w:color w:val="000000"/>
                <w:sz w:val="24"/>
                <w:szCs w:val="24"/>
              </w:rPr>
            </w:pPr>
            <w:r>
              <w:rPr>
                <w:color w:val="000000"/>
                <w:sz w:val="24"/>
                <w:szCs w:val="24"/>
              </w:rPr>
              <w:t>URRC Act</w:t>
            </w:r>
          </w:p>
        </w:tc>
        <w:tc>
          <w:tcPr>
            <w:tcW w:w="6768" w:type="dxa"/>
          </w:tcPr>
          <w:p w14:paraId="79DD16D3" w14:textId="2DB84A9A" w:rsidR="00796F0C" w:rsidRPr="00891467" w:rsidRDefault="00BF701A" w:rsidP="00FE2CA9">
            <w:pPr>
              <w:spacing w:after="120"/>
              <w:ind w:left="72"/>
              <w:rPr>
                <w:color w:val="000000"/>
                <w:sz w:val="24"/>
                <w:szCs w:val="24"/>
              </w:rPr>
            </w:pPr>
            <w:r>
              <w:rPr>
                <w:i/>
                <w:color w:val="000000"/>
                <w:sz w:val="24"/>
                <w:szCs w:val="24"/>
              </w:rPr>
              <w:t>Utility Rates Review Council Act</w:t>
            </w:r>
          </w:p>
        </w:tc>
      </w:tr>
    </w:tbl>
    <w:p w14:paraId="252E291E" w14:textId="03E818E3" w:rsidR="003D56E8" w:rsidRDefault="003D56E8">
      <w:pPr>
        <w:pBdr>
          <w:top w:val="nil"/>
          <w:left w:val="nil"/>
          <w:bottom w:val="nil"/>
          <w:right w:val="nil"/>
          <w:between w:val="nil"/>
        </w:pBdr>
        <w:rPr>
          <w:b/>
          <w:color w:val="000000"/>
          <w:sz w:val="19"/>
          <w:szCs w:val="19"/>
        </w:rPr>
      </w:pPr>
    </w:p>
    <w:p w14:paraId="7A0F7B1A" w14:textId="77777777" w:rsidR="006157F0" w:rsidRDefault="006157F0">
      <w:pPr>
        <w:pBdr>
          <w:top w:val="nil"/>
          <w:left w:val="nil"/>
          <w:bottom w:val="nil"/>
          <w:right w:val="nil"/>
          <w:between w:val="nil"/>
        </w:pBdr>
        <w:rPr>
          <w:b/>
          <w:color w:val="000000"/>
          <w:sz w:val="19"/>
          <w:szCs w:val="19"/>
        </w:rPr>
      </w:pPr>
    </w:p>
    <w:p w14:paraId="02E3F7DE" w14:textId="21809420" w:rsidR="003D56E8" w:rsidRDefault="003D56E8">
      <w:pPr>
        <w:rPr>
          <w:sz w:val="24"/>
          <w:szCs w:val="24"/>
        </w:rPr>
        <w:sectPr w:rsidR="003D56E8">
          <w:pgSz w:w="12240" w:h="15840"/>
          <w:pgMar w:top="1400" w:right="1420" w:bottom="280" w:left="1200" w:header="720" w:footer="720" w:gutter="0"/>
          <w:cols w:space="720" w:equalWidth="0">
            <w:col w:w="9360"/>
          </w:cols>
        </w:sectPr>
      </w:pPr>
    </w:p>
    <w:p w14:paraId="7EA8A4CF" w14:textId="77777777" w:rsidR="003D56E8" w:rsidRDefault="003D56E8">
      <w:pPr>
        <w:pBdr>
          <w:top w:val="nil"/>
          <w:left w:val="nil"/>
          <w:bottom w:val="nil"/>
          <w:right w:val="nil"/>
          <w:between w:val="nil"/>
        </w:pBdr>
        <w:spacing w:before="3"/>
        <w:rPr>
          <w:b/>
          <w:color w:val="000000"/>
          <w:sz w:val="20"/>
          <w:szCs w:val="20"/>
        </w:rPr>
      </w:pPr>
    </w:p>
    <w:p w14:paraId="26C79D01" w14:textId="5CBF48F2" w:rsidR="003D56E8" w:rsidRDefault="00AA767F" w:rsidP="00BF701A">
      <w:pPr>
        <w:spacing w:before="90"/>
        <w:ind w:left="90"/>
        <w:rPr>
          <w:b/>
          <w:sz w:val="24"/>
          <w:szCs w:val="24"/>
        </w:rPr>
      </w:pPr>
      <w:bookmarkStart w:id="5" w:name="bookmark=id.2et92p0" w:colFirst="0" w:colLast="0"/>
      <w:bookmarkEnd w:id="5"/>
      <w:r>
        <w:rPr>
          <w:b/>
          <w:sz w:val="24"/>
          <w:szCs w:val="24"/>
        </w:rPr>
        <w:t xml:space="preserve">TABLE OF CONTENTS </w:t>
      </w:r>
    </w:p>
    <w:p w14:paraId="51DF9EC9" w14:textId="0ADB5ECA" w:rsidR="00AA724A" w:rsidRDefault="00AA724A">
      <w:pPr>
        <w:spacing w:before="90"/>
        <w:ind w:left="240"/>
        <w:rPr>
          <w:b/>
          <w:sz w:val="24"/>
          <w:szCs w:val="24"/>
        </w:rPr>
      </w:pPr>
    </w:p>
    <w:p w14:paraId="3025DCD6" w14:textId="2C10A78C" w:rsidR="00B438AC" w:rsidRDefault="00AA724A">
      <w:pPr>
        <w:pStyle w:val="TOC1"/>
        <w:tabs>
          <w:tab w:val="left" w:pos="1019"/>
          <w:tab w:val="right" w:leader="dot" w:pos="9350"/>
        </w:tabs>
        <w:rPr>
          <w:rFonts w:asciiTheme="minorHAnsi" w:eastAsiaTheme="minorEastAsia" w:hAnsiTheme="minorHAnsi" w:cstheme="minorBidi"/>
          <w:noProof/>
        </w:rPr>
      </w:pPr>
      <w:r>
        <w:rPr>
          <w:b/>
          <w:sz w:val="24"/>
          <w:szCs w:val="24"/>
        </w:rPr>
        <w:fldChar w:fldCharType="begin"/>
      </w:r>
      <w:r>
        <w:rPr>
          <w:b/>
          <w:sz w:val="24"/>
          <w:szCs w:val="24"/>
        </w:rPr>
        <w:instrText xml:space="preserve"> TOC \h \z \t "URRC_Heading 1,1,URRC_Heading 2,2" </w:instrText>
      </w:r>
      <w:r>
        <w:rPr>
          <w:b/>
          <w:sz w:val="24"/>
          <w:szCs w:val="24"/>
        </w:rPr>
        <w:fldChar w:fldCharType="separate"/>
      </w:r>
      <w:hyperlink w:anchor="_Toc52808114" w:history="1">
        <w:r w:rsidR="00B438AC" w:rsidRPr="00611633">
          <w:rPr>
            <w:rStyle w:val="Hyperlink"/>
            <w:noProof/>
          </w:rPr>
          <w:t>1.0</w:t>
        </w:r>
        <w:r w:rsidR="00B438AC">
          <w:rPr>
            <w:rFonts w:asciiTheme="minorHAnsi" w:eastAsiaTheme="minorEastAsia" w:hAnsiTheme="minorHAnsi" w:cstheme="minorBidi"/>
            <w:noProof/>
          </w:rPr>
          <w:tab/>
        </w:r>
        <w:r w:rsidR="00B438AC" w:rsidRPr="00611633">
          <w:rPr>
            <w:rStyle w:val="Hyperlink"/>
            <w:noProof/>
          </w:rPr>
          <w:t>BACKGROUND</w:t>
        </w:r>
        <w:r w:rsidR="00B438AC">
          <w:rPr>
            <w:noProof/>
            <w:webHidden/>
          </w:rPr>
          <w:tab/>
        </w:r>
        <w:r w:rsidR="00B438AC">
          <w:rPr>
            <w:noProof/>
            <w:webHidden/>
          </w:rPr>
          <w:fldChar w:fldCharType="begin"/>
        </w:r>
        <w:r w:rsidR="00B438AC">
          <w:rPr>
            <w:noProof/>
            <w:webHidden/>
          </w:rPr>
          <w:instrText xml:space="preserve"> PAGEREF _Toc52808114 \h </w:instrText>
        </w:r>
        <w:r w:rsidR="00B438AC">
          <w:rPr>
            <w:noProof/>
            <w:webHidden/>
          </w:rPr>
        </w:r>
        <w:r w:rsidR="00B438AC">
          <w:rPr>
            <w:noProof/>
            <w:webHidden/>
          </w:rPr>
          <w:fldChar w:fldCharType="separate"/>
        </w:r>
        <w:r w:rsidR="00FA260F">
          <w:rPr>
            <w:noProof/>
            <w:webHidden/>
          </w:rPr>
          <w:t>1</w:t>
        </w:r>
        <w:r w:rsidR="00B438AC">
          <w:rPr>
            <w:noProof/>
            <w:webHidden/>
          </w:rPr>
          <w:fldChar w:fldCharType="end"/>
        </w:r>
      </w:hyperlink>
    </w:p>
    <w:p w14:paraId="3795C753" w14:textId="7C2433E4" w:rsidR="00B438AC" w:rsidRDefault="00F33ED5">
      <w:pPr>
        <w:pStyle w:val="TOC1"/>
        <w:tabs>
          <w:tab w:val="left" w:pos="1019"/>
          <w:tab w:val="right" w:leader="dot" w:pos="9350"/>
        </w:tabs>
        <w:rPr>
          <w:rFonts w:asciiTheme="minorHAnsi" w:eastAsiaTheme="minorEastAsia" w:hAnsiTheme="minorHAnsi" w:cstheme="minorBidi"/>
          <w:noProof/>
        </w:rPr>
      </w:pPr>
      <w:hyperlink w:anchor="_Toc52808115" w:history="1">
        <w:r w:rsidR="00B438AC" w:rsidRPr="00611633">
          <w:rPr>
            <w:rStyle w:val="Hyperlink"/>
            <w:noProof/>
          </w:rPr>
          <w:t>2.0</w:t>
        </w:r>
        <w:r w:rsidR="00B438AC">
          <w:rPr>
            <w:rFonts w:asciiTheme="minorHAnsi" w:eastAsiaTheme="minorEastAsia" w:hAnsiTheme="minorHAnsi" w:cstheme="minorBidi"/>
            <w:noProof/>
          </w:rPr>
          <w:tab/>
        </w:r>
        <w:r w:rsidR="00B438AC" w:rsidRPr="00611633">
          <w:rPr>
            <w:rStyle w:val="Hyperlink"/>
            <w:noProof/>
          </w:rPr>
          <w:t>PARTICULARS OF THE APPLICATION</w:t>
        </w:r>
        <w:r w:rsidR="00B438AC">
          <w:rPr>
            <w:noProof/>
            <w:webHidden/>
          </w:rPr>
          <w:tab/>
        </w:r>
        <w:r w:rsidR="00B438AC">
          <w:rPr>
            <w:noProof/>
            <w:webHidden/>
          </w:rPr>
          <w:fldChar w:fldCharType="begin"/>
        </w:r>
        <w:r w:rsidR="00B438AC">
          <w:rPr>
            <w:noProof/>
            <w:webHidden/>
          </w:rPr>
          <w:instrText xml:space="preserve"> PAGEREF _Toc52808115 \h </w:instrText>
        </w:r>
        <w:r w:rsidR="00B438AC">
          <w:rPr>
            <w:noProof/>
            <w:webHidden/>
          </w:rPr>
        </w:r>
        <w:r w:rsidR="00B438AC">
          <w:rPr>
            <w:noProof/>
            <w:webHidden/>
          </w:rPr>
          <w:fldChar w:fldCharType="separate"/>
        </w:r>
        <w:r w:rsidR="00FA260F">
          <w:rPr>
            <w:noProof/>
            <w:webHidden/>
          </w:rPr>
          <w:t>2</w:t>
        </w:r>
        <w:r w:rsidR="00B438AC">
          <w:rPr>
            <w:noProof/>
            <w:webHidden/>
          </w:rPr>
          <w:fldChar w:fldCharType="end"/>
        </w:r>
      </w:hyperlink>
    </w:p>
    <w:p w14:paraId="080C7CDE" w14:textId="593E9028" w:rsidR="00B438AC" w:rsidRDefault="00F33ED5">
      <w:pPr>
        <w:pStyle w:val="TOC1"/>
        <w:tabs>
          <w:tab w:val="left" w:pos="1019"/>
          <w:tab w:val="right" w:leader="dot" w:pos="9350"/>
        </w:tabs>
        <w:rPr>
          <w:rFonts w:asciiTheme="minorHAnsi" w:eastAsiaTheme="minorEastAsia" w:hAnsiTheme="minorHAnsi" w:cstheme="minorBidi"/>
          <w:noProof/>
        </w:rPr>
      </w:pPr>
      <w:hyperlink w:anchor="_Toc52808116" w:history="1">
        <w:r w:rsidR="00B438AC" w:rsidRPr="00611633">
          <w:rPr>
            <w:rStyle w:val="Hyperlink"/>
            <w:noProof/>
          </w:rPr>
          <w:t>3.0</w:t>
        </w:r>
        <w:r w:rsidR="00B438AC">
          <w:rPr>
            <w:rFonts w:asciiTheme="minorHAnsi" w:eastAsiaTheme="minorEastAsia" w:hAnsiTheme="minorHAnsi" w:cstheme="minorBidi"/>
            <w:noProof/>
          </w:rPr>
          <w:tab/>
        </w:r>
        <w:r w:rsidR="00B438AC" w:rsidRPr="00611633">
          <w:rPr>
            <w:rStyle w:val="Hyperlink"/>
            <w:noProof/>
          </w:rPr>
          <w:t>PROCESS</w:t>
        </w:r>
        <w:r w:rsidR="00B438AC">
          <w:rPr>
            <w:noProof/>
            <w:webHidden/>
          </w:rPr>
          <w:tab/>
        </w:r>
        <w:r w:rsidR="00B438AC">
          <w:rPr>
            <w:noProof/>
            <w:webHidden/>
          </w:rPr>
          <w:fldChar w:fldCharType="begin"/>
        </w:r>
        <w:r w:rsidR="00B438AC">
          <w:rPr>
            <w:noProof/>
            <w:webHidden/>
          </w:rPr>
          <w:instrText xml:space="preserve"> PAGEREF _Toc52808116 \h </w:instrText>
        </w:r>
        <w:r w:rsidR="00B438AC">
          <w:rPr>
            <w:noProof/>
            <w:webHidden/>
          </w:rPr>
        </w:r>
        <w:r w:rsidR="00B438AC">
          <w:rPr>
            <w:noProof/>
            <w:webHidden/>
          </w:rPr>
          <w:fldChar w:fldCharType="separate"/>
        </w:r>
        <w:r w:rsidR="00FA260F">
          <w:rPr>
            <w:noProof/>
            <w:webHidden/>
          </w:rPr>
          <w:t>4</w:t>
        </w:r>
        <w:r w:rsidR="00B438AC">
          <w:rPr>
            <w:noProof/>
            <w:webHidden/>
          </w:rPr>
          <w:fldChar w:fldCharType="end"/>
        </w:r>
      </w:hyperlink>
    </w:p>
    <w:p w14:paraId="621F0F96" w14:textId="7185D757" w:rsidR="00B438AC" w:rsidRDefault="00F33ED5">
      <w:pPr>
        <w:pStyle w:val="TOC2"/>
        <w:tabs>
          <w:tab w:val="right" w:leader="dot" w:pos="9350"/>
        </w:tabs>
        <w:rPr>
          <w:rFonts w:asciiTheme="minorHAnsi" w:eastAsiaTheme="minorEastAsia" w:hAnsiTheme="minorHAnsi" w:cstheme="minorBidi"/>
          <w:noProof/>
        </w:rPr>
      </w:pPr>
      <w:hyperlink w:anchor="_Toc52808117" w:history="1">
        <w:r w:rsidR="00B438AC" w:rsidRPr="00611633">
          <w:rPr>
            <w:rStyle w:val="Hyperlink"/>
            <w:noProof/>
          </w:rPr>
          <w:t>3.1</w:t>
        </w:r>
        <w:r w:rsidR="00B438AC">
          <w:rPr>
            <w:rFonts w:asciiTheme="minorHAnsi" w:eastAsiaTheme="minorEastAsia" w:hAnsiTheme="minorHAnsi" w:cstheme="minorBidi"/>
            <w:noProof/>
          </w:rPr>
          <w:tab/>
        </w:r>
        <w:r w:rsidR="00B438AC" w:rsidRPr="00611633">
          <w:rPr>
            <w:rStyle w:val="Hyperlink"/>
            <w:noProof/>
          </w:rPr>
          <w:t>MAJOR OR MINOR APPLICATION</w:t>
        </w:r>
        <w:r w:rsidR="00B438AC">
          <w:rPr>
            <w:noProof/>
            <w:webHidden/>
          </w:rPr>
          <w:tab/>
        </w:r>
        <w:r w:rsidR="00B438AC">
          <w:rPr>
            <w:noProof/>
            <w:webHidden/>
          </w:rPr>
          <w:fldChar w:fldCharType="begin"/>
        </w:r>
        <w:r w:rsidR="00B438AC">
          <w:rPr>
            <w:noProof/>
            <w:webHidden/>
          </w:rPr>
          <w:instrText xml:space="preserve"> PAGEREF _Toc52808117 \h </w:instrText>
        </w:r>
        <w:r w:rsidR="00B438AC">
          <w:rPr>
            <w:noProof/>
            <w:webHidden/>
          </w:rPr>
        </w:r>
        <w:r w:rsidR="00B438AC">
          <w:rPr>
            <w:noProof/>
            <w:webHidden/>
          </w:rPr>
          <w:fldChar w:fldCharType="separate"/>
        </w:r>
        <w:r w:rsidR="00FA260F">
          <w:rPr>
            <w:noProof/>
            <w:webHidden/>
          </w:rPr>
          <w:t>4</w:t>
        </w:r>
        <w:r w:rsidR="00B438AC">
          <w:rPr>
            <w:noProof/>
            <w:webHidden/>
          </w:rPr>
          <w:fldChar w:fldCharType="end"/>
        </w:r>
      </w:hyperlink>
    </w:p>
    <w:p w14:paraId="5CA5DD82" w14:textId="797762A5" w:rsidR="00B438AC" w:rsidRDefault="00F33ED5">
      <w:pPr>
        <w:pStyle w:val="TOC2"/>
        <w:tabs>
          <w:tab w:val="right" w:leader="dot" w:pos="9350"/>
        </w:tabs>
        <w:rPr>
          <w:rFonts w:asciiTheme="minorHAnsi" w:eastAsiaTheme="minorEastAsia" w:hAnsiTheme="minorHAnsi" w:cstheme="minorBidi"/>
          <w:noProof/>
        </w:rPr>
      </w:pPr>
      <w:hyperlink w:anchor="_Toc52808118" w:history="1">
        <w:r w:rsidR="00B438AC" w:rsidRPr="00611633">
          <w:rPr>
            <w:rStyle w:val="Hyperlink"/>
            <w:noProof/>
          </w:rPr>
          <w:t>3.2</w:t>
        </w:r>
        <w:r w:rsidR="00B438AC">
          <w:rPr>
            <w:rFonts w:asciiTheme="minorHAnsi" w:eastAsiaTheme="minorEastAsia" w:hAnsiTheme="minorHAnsi" w:cstheme="minorBidi"/>
            <w:noProof/>
          </w:rPr>
          <w:tab/>
        </w:r>
        <w:r w:rsidR="00B438AC" w:rsidRPr="00611633">
          <w:rPr>
            <w:rStyle w:val="Hyperlink"/>
            <w:noProof/>
          </w:rPr>
          <w:t>PUBLIC CONSULTATION PROCESS</w:t>
        </w:r>
        <w:r w:rsidR="00B438AC">
          <w:rPr>
            <w:noProof/>
            <w:webHidden/>
          </w:rPr>
          <w:tab/>
        </w:r>
        <w:r w:rsidR="00B438AC">
          <w:rPr>
            <w:noProof/>
            <w:webHidden/>
          </w:rPr>
          <w:fldChar w:fldCharType="begin"/>
        </w:r>
        <w:r w:rsidR="00B438AC">
          <w:rPr>
            <w:noProof/>
            <w:webHidden/>
          </w:rPr>
          <w:instrText xml:space="preserve"> PAGEREF _Toc52808118 \h </w:instrText>
        </w:r>
        <w:r w:rsidR="00B438AC">
          <w:rPr>
            <w:noProof/>
            <w:webHidden/>
          </w:rPr>
        </w:r>
        <w:r w:rsidR="00B438AC">
          <w:rPr>
            <w:noProof/>
            <w:webHidden/>
          </w:rPr>
          <w:fldChar w:fldCharType="separate"/>
        </w:r>
        <w:r w:rsidR="00FA260F">
          <w:rPr>
            <w:noProof/>
            <w:webHidden/>
          </w:rPr>
          <w:t>4</w:t>
        </w:r>
        <w:r w:rsidR="00B438AC">
          <w:rPr>
            <w:noProof/>
            <w:webHidden/>
          </w:rPr>
          <w:fldChar w:fldCharType="end"/>
        </w:r>
      </w:hyperlink>
    </w:p>
    <w:p w14:paraId="622FB345" w14:textId="0CC2BCDC" w:rsidR="00B438AC" w:rsidRDefault="00F33ED5">
      <w:pPr>
        <w:pStyle w:val="TOC1"/>
        <w:tabs>
          <w:tab w:val="left" w:pos="1019"/>
          <w:tab w:val="right" w:leader="dot" w:pos="9350"/>
        </w:tabs>
        <w:rPr>
          <w:rFonts w:asciiTheme="minorHAnsi" w:eastAsiaTheme="minorEastAsia" w:hAnsiTheme="minorHAnsi" w:cstheme="minorBidi"/>
          <w:noProof/>
        </w:rPr>
      </w:pPr>
      <w:hyperlink w:anchor="_Toc52808119" w:history="1">
        <w:r w:rsidR="00B438AC" w:rsidRPr="00611633">
          <w:rPr>
            <w:rStyle w:val="Hyperlink"/>
            <w:noProof/>
          </w:rPr>
          <w:t>4.0</w:t>
        </w:r>
        <w:r w:rsidR="00B438AC">
          <w:rPr>
            <w:rFonts w:asciiTheme="minorHAnsi" w:eastAsiaTheme="minorEastAsia" w:hAnsiTheme="minorHAnsi" w:cstheme="minorBidi"/>
            <w:noProof/>
          </w:rPr>
          <w:tab/>
        </w:r>
        <w:r w:rsidR="00B438AC" w:rsidRPr="00611633">
          <w:rPr>
            <w:rStyle w:val="Hyperlink"/>
            <w:noProof/>
          </w:rPr>
          <w:t>PUBLIC SUBMISSIONS</w:t>
        </w:r>
        <w:r w:rsidR="00B438AC">
          <w:rPr>
            <w:noProof/>
            <w:webHidden/>
          </w:rPr>
          <w:tab/>
        </w:r>
        <w:r w:rsidR="00B438AC">
          <w:rPr>
            <w:noProof/>
            <w:webHidden/>
          </w:rPr>
          <w:fldChar w:fldCharType="begin"/>
        </w:r>
        <w:r w:rsidR="00B438AC">
          <w:rPr>
            <w:noProof/>
            <w:webHidden/>
          </w:rPr>
          <w:instrText xml:space="preserve"> PAGEREF _Toc52808119 \h </w:instrText>
        </w:r>
        <w:r w:rsidR="00B438AC">
          <w:rPr>
            <w:noProof/>
            <w:webHidden/>
          </w:rPr>
        </w:r>
        <w:r w:rsidR="00B438AC">
          <w:rPr>
            <w:noProof/>
            <w:webHidden/>
          </w:rPr>
          <w:fldChar w:fldCharType="separate"/>
        </w:r>
        <w:r w:rsidR="00FA260F">
          <w:rPr>
            <w:noProof/>
            <w:webHidden/>
          </w:rPr>
          <w:t>6</w:t>
        </w:r>
        <w:r w:rsidR="00B438AC">
          <w:rPr>
            <w:noProof/>
            <w:webHidden/>
          </w:rPr>
          <w:fldChar w:fldCharType="end"/>
        </w:r>
      </w:hyperlink>
    </w:p>
    <w:p w14:paraId="5AFD3F3F" w14:textId="3C361AE1" w:rsidR="00B438AC" w:rsidRDefault="00F33ED5">
      <w:pPr>
        <w:pStyle w:val="TOC1"/>
        <w:tabs>
          <w:tab w:val="left" w:pos="1019"/>
          <w:tab w:val="right" w:leader="dot" w:pos="9350"/>
        </w:tabs>
        <w:rPr>
          <w:rFonts w:asciiTheme="minorHAnsi" w:eastAsiaTheme="minorEastAsia" w:hAnsiTheme="minorHAnsi" w:cstheme="minorBidi"/>
          <w:noProof/>
        </w:rPr>
      </w:pPr>
      <w:hyperlink w:anchor="_Toc52808120" w:history="1">
        <w:r w:rsidR="00B438AC" w:rsidRPr="00611633">
          <w:rPr>
            <w:rStyle w:val="Hyperlink"/>
            <w:noProof/>
          </w:rPr>
          <w:t>5.0</w:t>
        </w:r>
        <w:r w:rsidR="00B438AC">
          <w:rPr>
            <w:rFonts w:asciiTheme="minorHAnsi" w:eastAsiaTheme="minorEastAsia" w:hAnsiTheme="minorHAnsi" w:cstheme="minorBidi"/>
            <w:noProof/>
          </w:rPr>
          <w:tab/>
        </w:r>
        <w:r w:rsidR="00B438AC" w:rsidRPr="00611633">
          <w:rPr>
            <w:rStyle w:val="Hyperlink"/>
            <w:noProof/>
          </w:rPr>
          <w:t>EXAMINATION OF THE APPLICATION</w:t>
        </w:r>
        <w:r w:rsidR="00B438AC">
          <w:rPr>
            <w:noProof/>
            <w:webHidden/>
          </w:rPr>
          <w:tab/>
        </w:r>
        <w:r w:rsidR="00B438AC">
          <w:rPr>
            <w:noProof/>
            <w:webHidden/>
          </w:rPr>
          <w:fldChar w:fldCharType="begin"/>
        </w:r>
        <w:r w:rsidR="00B438AC">
          <w:rPr>
            <w:noProof/>
            <w:webHidden/>
          </w:rPr>
          <w:instrText xml:space="preserve"> PAGEREF _Toc52808120 \h </w:instrText>
        </w:r>
        <w:r w:rsidR="00B438AC">
          <w:rPr>
            <w:noProof/>
            <w:webHidden/>
          </w:rPr>
        </w:r>
        <w:r w:rsidR="00B438AC">
          <w:rPr>
            <w:noProof/>
            <w:webHidden/>
          </w:rPr>
          <w:fldChar w:fldCharType="separate"/>
        </w:r>
        <w:r w:rsidR="00FA260F">
          <w:rPr>
            <w:noProof/>
            <w:webHidden/>
          </w:rPr>
          <w:t>9</w:t>
        </w:r>
        <w:r w:rsidR="00B438AC">
          <w:rPr>
            <w:noProof/>
            <w:webHidden/>
          </w:rPr>
          <w:fldChar w:fldCharType="end"/>
        </w:r>
      </w:hyperlink>
    </w:p>
    <w:p w14:paraId="40704448" w14:textId="6563C5E0" w:rsidR="00B438AC" w:rsidRDefault="00F33ED5">
      <w:pPr>
        <w:pStyle w:val="TOC2"/>
        <w:tabs>
          <w:tab w:val="right" w:leader="dot" w:pos="9350"/>
        </w:tabs>
        <w:rPr>
          <w:rFonts w:asciiTheme="minorHAnsi" w:eastAsiaTheme="minorEastAsia" w:hAnsiTheme="minorHAnsi" w:cstheme="minorBidi"/>
          <w:noProof/>
        </w:rPr>
      </w:pPr>
      <w:hyperlink w:anchor="_Toc52808121" w:history="1">
        <w:r w:rsidR="00B438AC" w:rsidRPr="00611633">
          <w:rPr>
            <w:rStyle w:val="Hyperlink"/>
            <w:noProof/>
          </w:rPr>
          <w:t>5.1</w:t>
        </w:r>
        <w:r w:rsidR="00B438AC">
          <w:rPr>
            <w:rFonts w:asciiTheme="minorHAnsi" w:eastAsiaTheme="minorEastAsia" w:hAnsiTheme="minorHAnsi" w:cstheme="minorBidi"/>
            <w:noProof/>
          </w:rPr>
          <w:tab/>
        </w:r>
        <w:r w:rsidR="00B438AC" w:rsidRPr="00611633">
          <w:rPr>
            <w:rStyle w:val="Hyperlink"/>
            <w:noProof/>
          </w:rPr>
          <w:t>OVERALL OBJECTIVE AND PREMISE FOR THE CIPP PROGRAM</w:t>
        </w:r>
        <w:r w:rsidR="00B438AC">
          <w:rPr>
            <w:noProof/>
            <w:webHidden/>
          </w:rPr>
          <w:tab/>
        </w:r>
        <w:r w:rsidR="00B438AC">
          <w:rPr>
            <w:noProof/>
            <w:webHidden/>
          </w:rPr>
          <w:fldChar w:fldCharType="begin"/>
        </w:r>
        <w:r w:rsidR="00B438AC">
          <w:rPr>
            <w:noProof/>
            <w:webHidden/>
          </w:rPr>
          <w:instrText xml:space="preserve"> PAGEREF _Toc52808121 \h </w:instrText>
        </w:r>
        <w:r w:rsidR="00B438AC">
          <w:rPr>
            <w:noProof/>
            <w:webHidden/>
          </w:rPr>
        </w:r>
        <w:r w:rsidR="00B438AC">
          <w:rPr>
            <w:noProof/>
            <w:webHidden/>
          </w:rPr>
          <w:fldChar w:fldCharType="separate"/>
        </w:r>
        <w:r w:rsidR="00FA260F">
          <w:rPr>
            <w:noProof/>
            <w:webHidden/>
          </w:rPr>
          <w:t>9</w:t>
        </w:r>
        <w:r w:rsidR="00B438AC">
          <w:rPr>
            <w:noProof/>
            <w:webHidden/>
          </w:rPr>
          <w:fldChar w:fldCharType="end"/>
        </w:r>
      </w:hyperlink>
    </w:p>
    <w:p w14:paraId="2DF84351" w14:textId="6BB04923" w:rsidR="00B438AC" w:rsidRDefault="00F33ED5">
      <w:pPr>
        <w:pStyle w:val="TOC2"/>
        <w:tabs>
          <w:tab w:val="right" w:leader="dot" w:pos="9350"/>
        </w:tabs>
        <w:rPr>
          <w:rFonts w:asciiTheme="minorHAnsi" w:eastAsiaTheme="minorEastAsia" w:hAnsiTheme="minorHAnsi" w:cstheme="minorBidi"/>
          <w:noProof/>
        </w:rPr>
      </w:pPr>
      <w:hyperlink w:anchor="_Toc52808122" w:history="1">
        <w:r w:rsidR="00B438AC" w:rsidRPr="00611633">
          <w:rPr>
            <w:rStyle w:val="Hyperlink"/>
            <w:noProof/>
          </w:rPr>
          <w:t>5.2</w:t>
        </w:r>
        <w:r w:rsidR="00B438AC">
          <w:rPr>
            <w:rFonts w:asciiTheme="minorHAnsi" w:eastAsiaTheme="minorEastAsia" w:hAnsiTheme="minorHAnsi" w:cstheme="minorBidi"/>
            <w:noProof/>
          </w:rPr>
          <w:tab/>
        </w:r>
        <w:r w:rsidR="00B438AC" w:rsidRPr="00611633">
          <w:rPr>
            <w:rStyle w:val="Hyperlink"/>
            <w:noProof/>
          </w:rPr>
          <w:t>CIPP PRICING STRUCTURE</w:t>
        </w:r>
        <w:r w:rsidR="00B438AC">
          <w:rPr>
            <w:noProof/>
            <w:webHidden/>
          </w:rPr>
          <w:tab/>
        </w:r>
        <w:r w:rsidR="00B438AC">
          <w:rPr>
            <w:noProof/>
            <w:webHidden/>
          </w:rPr>
          <w:fldChar w:fldCharType="begin"/>
        </w:r>
        <w:r w:rsidR="00B438AC">
          <w:rPr>
            <w:noProof/>
            <w:webHidden/>
          </w:rPr>
          <w:instrText xml:space="preserve"> PAGEREF _Toc52808122 \h </w:instrText>
        </w:r>
        <w:r w:rsidR="00B438AC">
          <w:rPr>
            <w:noProof/>
            <w:webHidden/>
          </w:rPr>
        </w:r>
        <w:r w:rsidR="00B438AC">
          <w:rPr>
            <w:noProof/>
            <w:webHidden/>
          </w:rPr>
          <w:fldChar w:fldCharType="separate"/>
        </w:r>
        <w:r w:rsidR="00FA260F">
          <w:rPr>
            <w:noProof/>
            <w:webHidden/>
          </w:rPr>
          <w:t>10</w:t>
        </w:r>
        <w:r w:rsidR="00B438AC">
          <w:rPr>
            <w:noProof/>
            <w:webHidden/>
          </w:rPr>
          <w:fldChar w:fldCharType="end"/>
        </w:r>
      </w:hyperlink>
    </w:p>
    <w:p w14:paraId="283B4701" w14:textId="54687BA3" w:rsidR="00B438AC" w:rsidRDefault="00F33ED5">
      <w:pPr>
        <w:pStyle w:val="TOC2"/>
        <w:tabs>
          <w:tab w:val="right" w:leader="dot" w:pos="9350"/>
        </w:tabs>
        <w:rPr>
          <w:rFonts w:asciiTheme="minorHAnsi" w:eastAsiaTheme="minorEastAsia" w:hAnsiTheme="minorHAnsi" w:cstheme="minorBidi"/>
          <w:noProof/>
        </w:rPr>
      </w:pPr>
      <w:hyperlink w:anchor="_Toc52808123" w:history="1">
        <w:r w:rsidR="00B438AC" w:rsidRPr="00611633">
          <w:rPr>
            <w:rStyle w:val="Hyperlink"/>
            <w:noProof/>
          </w:rPr>
          <w:t>5.3</w:t>
        </w:r>
        <w:r w:rsidR="00B438AC">
          <w:rPr>
            <w:rFonts w:asciiTheme="minorHAnsi" w:eastAsiaTheme="minorEastAsia" w:hAnsiTheme="minorHAnsi" w:cstheme="minorBidi"/>
            <w:noProof/>
          </w:rPr>
          <w:tab/>
        </w:r>
        <w:r w:rsidR="00B438AC" w:rsidRPr="00611633">
          <w:rPr>
            <w:rStyle w:val="Hyperlink"/>
            <w:noProof/>
          </w:rPr>
          <w:t>CIPP PROGRAM</w:t>
        </w:r>
        <w:r w:rsidR="00B438AC">
          <w:rPr>
            <w:noProof/>
            <w:webHidden/>
          </w:rPr>
          <w:tab/>
        </w:r>
        <w:r w:rsidR="00B438AC">
          <w:rPr>
            <w:noProof/>
            <w:webHidden/>
          </w:rPr>
          <w:fldChar w:fldCharType="begin"/>
        </w:r>
        <w:r w:rsidR="00B438AC">
          <w:rPr>
            <w:noProof/>
            <w:webHidden/>
          </w:rPr>
          <w:instrText xml:space="preserve"> PAGEREF _Toc52808123 \h </w:instrText>
        </w:r>
        <w:r w:rsidR="00B438AC">
          <w:rPr>
            <w:noProof/>
            <w:webHidden/>
          </w:rPr>
        </w:r>
        <w:r w:rsidR="00B438AC">
          <w:rPr>
            <w:noProof/>
            <w:webHidden/>
          </w:rPr>
          <w:fldChar w:fldCharType="separate"/>
        </w:r>
        <w:r w:rsidR="00FA260F">
          <w:rPr>
            <w:noProof/>
            <w:webHidden/>
          </w:rPr>
          <w:t>13</w:t>
        </w:r>
        <w:r w:rsidR="00B438AC">
          <w:rPr>
            <w:noProof/>
            <w:webHidden/>
          </w:rPr>
          <w:fldChar w:fldCharType="end"/>
        </w:r>
      </w:hyperlink>
    </w:p>
    <w:p w14:paraId="051FBD45" w14:textId="15CF24B3" w:rsidR="00B438AC" w:rsidRDefault="00F33ED5">
      <w:pPr>
        <w:pStyle w:val="TOC1"/>
        <w:tabs>
          <w:tab w:val="left" w:pos="1019"/>
          <w:tab w:val="right" w:leader="dot" w:pos="9350"/>
        </w:tabs>
        <w:rPr>
          <w:rFonts w:asciiTheme="minorHAnsi" w:eastAsiaTheme="minorEastAsia" w:hAnsiTheme="minorHAnsi" w:cstheme="minorBidi"/>
          <w:noProof/>
        </w:rPr>
      </w:pPr>
      <w:hyperlink w:anchor="_Toc52808124" w:history="1">
        <w:r w:rsidR="00B438AC" w:rsidRPr="00611633">
          <w:rPr>
            <w:rStyle w:val="Hyperlink"/>
            <w:noProof/>
          </w:rPr>
          <w:t>6.0</w:t>
        </w:r>
        <w:r w:rsidR="00B438AC">
          <w:rPr>
            <w:rFonts w:asciiTheme="minorHAnsi" w:eastAsiaTheme="minorEastAsia" w:hAnsiTheme="minorHAnsi" w:cstheme="minorBidi"/>
            <w:noProof/>
          </w:rPr>
          <w:tab/>
        </w:r>
        <w:r w:rsidR="00B438AC" w:rsidRPr="00611633">
          <w:rPr>
            <w:rStyle w:val="Hyperlink"/>
            <w:noProof/>
          </w:rPr>
          <w:t>URRC RECOMMENDATION</w:t>
        </w:r>
        <w:r w:rsidR="00B438AC">
          <w:rPr>
            <w:noProof/>
            <w:webHidden/>
          </w:rPr>
          <w:tab/>
        </w:r>
        <w:r w:rsidR="00B438AC">
          <w:rPr>
            <w:noProof/>
            <w:webHidden/>
          </w:rPr>
          <w:fldChar w:fldCharType="begin"/>
        </w:r>
        <w:r w:rsidR="00B438AC">
          <w:rPr>
            <w:noProof/>
            <w:webHidden/>
          </w:rPr>
          <w:instrText xml:space="preserve"> PAGEREF _Toc52808124 \h </w:instrText>
        </w:r>
        <w:r w:rsidR="00B438AC">
          <w:rPr>
            <w:noProof/>
            <w:webHidden/>
          </w:rPr>
        </w:r>
        <w:r w:rsidR="00B438AC">
          <w:rPr>
            <w:noProof/>
            <w:webHidden/>
          </w:rPr>
          <w:fldChar w:fldCharType="separate"/>
        </w:r>
        <w:r w:rsidR="00FA260F">
          <w:rPr>
            <w:noProof/>
            <w:webHidden/>
          </w:rPr>
          <w:t>15</w:t>
        </w:r>
        <w:r w:rsidR="00B438AC">
          <w:rPr>
            <w:noProof/>
            <w:webHidden/>
          </w:rPr>
          <w:fldChar w:fldCharType="end"/>
        </w:r>
      </w:hyperlink>
    </w:p>
    <w:p w14:paraId="1CD00FBA" w14:textId="41F35C39" w:rsidR="00AA724A" w:rsidRDefault="00AA724A">
      <w:pPr>
        <w:spacing w:before="90"/>
        <w:ind w:left="240"/>
        <w:rPr>
          <w:b/>
          <w:sz w:val="24"/>
          <w:szCs w:val="24"/>
        </w:rPr>
      </w:pPr>
      <w:r>
        <w:rPr>
          <w:b/>
          <w:sz w:val="24"/>
          <w:szCs w:val="24"/>
        </w:rPr>
        <w:fldChar w:fldCharType="end"/>
      </w:r>
    </w:p>
    <w:p w14:paraId="24F44EE0" w14:textId="315E4408" w:rsidR="003D56E8" w:rsidRDefault="003D56E8">
      <w:pPr>
        <w:pBdr>
          <w:top w:val="nil"/>
          <w:left w:val="nil"/>
          <w:bottom w:val="nil"/>
          <w:right w:val="nil"/>
          <w:between w:val="nil"/>
        </w:pBdr>
        <w:tabs>
          <w:tab w:val="left" w:pos="798"/>
          <w:tab w:val="right" w:pos="9489"/>
        </w:tabs>
        <w:spacing w:before="100"/>
        <w:ind w:left="138"/>
        <w:rPr>
          <w:color w:val="000000"/>
        </w:rPr>
      </w:pPr>
    </w:p>
    <w:p w14:paraId="4B82A112" w14:textId="77777777" w:rsidR="003D56E8" w:rsidRDefault="003D56E8">
      <w:pPr>
        <w:sectPr w:rsidR="003D56E8">
          <w:headerReference w:type="default" r:id="rId15"/>
          <w:pgSz w:w="12240" w:h="15840"/>
          <w:pgMar w:top="1720" w:right="1420" w:bottom="280" w:left="1200" w:header="1520" w:footer="0" w:gutter="0"/>
          <w:cols w:space="720" w:equalWidth="0">
            <w:col w:w="9360"/>
          </w:cols>
        </w:sectPr>
      </w:pPr>
    </w:p>
    <w:p w14:paraId="6D6A0421" w14:textId="77777777" w:rsidR="003D56E8" w:rsidRDefault="003D56E8">
      <w:pPr>
        <w:pBdr>
          <w:top w:val="nil"/>
          <w:left w:val="nil"/>
          <w:bottom w:val="nil"/>
          <w:right w:val="nil"/>
          <w:between w:val="nil"/>
        </w:pBdr>
        <w:spacing w:before="9"/>
        <w:rPr>
          <w:b/>
          <w:color w:val="000000"/>
          <w:sz w:val="23"/>
          <w:szCs w:val="23"/>
        </w:rPr>
      </w:pPr>
      <w:bookmarkStart w:id="6" w:name="bookmark=id.tyjcwt" w:colFirst="0" w:colLast="0"/>
      <w:bookmarkStart w:id="7" w:name="_heading=h.3dy6vkm" w:colFirst="0" w:colLast="0"/>
      <w:bookmarkEnd w:id="6"/>
      <w:bookmarkEnd w:id="7"/>
    </w:p>
    <w:p w14:paraId="42511A0F" w14:textId="77777777" w:rsidR="00851F8B" w:rsidRDefault="00851F8B">
      <w:pPr>
        <w:pBdr>
          <w:top w:val="nil"/>
          <w:left w:val="nil"/>
          <w:bottom w:val="nil"/>
          <w:right w:val="nil"/>
          <w:between w:val="nil"/>
        </w:pBdr>
        <w:spacing w:before="9"/>
        <w:rPr>
          <w:b/>
          <w:color w:val="000000"/>
          <w:sz w:val="23"/>
          <w:szCs w:val="23"/>
        </w:rPr>
      </w:pPr>
    </w:p>
    <w:p w14:paraId="1495E032" w14:textId="29F3C6A3" w:rsidR="003D56E8" w:rsidRDefault="00AA767F" w:rsidP="00851F8B">
      <w:pPr>
        <w:pStyle w:val="URRCHeading1"/>
      </w:pPr>
      <w:bookmarkStart w:id="8" w:name="_Toc52808114"/>
      <w:r>
        <w:t>BACKGROUND</w:t>
      </w:r>
      <w:bookmarkEnd w:id="8"/>
    </w:p>
    <w:p w14:paraId="54C69529" w14:textId="77777777" w:rsidR="003D56E8" w:rsidRDefault="003D56E8">
      <w:pPr>
        <w:pBdr>
          <w:top w:val="nil"/>
          <w:left w:val="nil"/>
          <w:bottom w:val="nil"/>
          <w:right w:val="nil"/>
          <w:between w:val="nil"/>
        </w:pBdr>
        <w:spacing w:before="7"/>
        <w:rPr>
          <w:b/>
          <w:color w:val="000000"/>
          <w:sz w:val="23"/>
          <w:szCs w:val="23"/>
        </w:rPr>
      </w:pPr>
    </w:p>
    <w:p w14:paraId="61552C2C" w14:textId="1D9BFB77" w:rsidR="003D56E8" w:rsidRDefault="00AA767F">
      <w:pPr>
        <w:numPr>
          <w:ilvl w:val="2"/>
          <w:numId w:val="4"/>
        </w:numPr>
        <w:pBdr>
          <w:top w:val="nil"/>
          <w:left w:val="nil"/>
          <w:bottom w:val="nil"/>
          <w:right w:val="nil"/>
          <w:between w:val="nil"/>
        </w:pBdr>
        <w:tabs>
          <w:tab w:val="left" w:pos="885"/>
        </w:tabs>
        <w:spacing w:line="360" w:lineRule="auto"/>
        <w:ind w:right="116"/>
        <w:jc w:val="both"/>
        <w:rPr>
          <w:color w:val="000000"/>
          <w:sz w:val="24"/>
          <w:szCs w:val="24"/>
        </w:rPr>
      </w:pPr>
      <w:r>
        <w:rPr>
          <w:color w:val="000000"/>
          <w:sz w:val="24"/>
          <w:szCs w:val="24"/>
        </w:rPr>
        <w:t xml:space="preserve">Qulliq Energy Corporation (QEC), as a designated utility, is required pursuant to Section 12 (1) of the </w:t>
      </w:r>
      <w:r>
        <w:rPr>
          <w:i/>
          <w:color w:val="000000"/>
          <w:sz w:val="24"/>
          <w:szCs w:val="24"/>
        </w:rPr>
        <w:t>Utility Rates Review Council Act</w:t>
      </w:r>
      <w:r>
        <w:rPr>
          <w:color w:val="000000"/>
          <w:sz w:val="24"/>
          <w:szCs w:val="24"/>
        </w:rPr>
        <w:t xml:space="preserve"> (URRC Act), to seek approval from the responsible Minister for QEC (Minister), prior to imposing a rate or tariff. The responsible Minister in turn is required pursuant to Section 12 (2) of the URRC</w:t>
      </w:r>
      <w:r w:rsidR="00370056">
        <w:rPr>
          <w:color w:val="000000"/>
          <w:sz w:val="24"/>
          <w:szCs w:val="24"/>
        </w:rPr>
        <w:t> </w:t>
      </w:r>
      <w:r>
        <w:rPr>
          <w:color w:val="000000"/>
          <w:sz w:val="24"/>
          <w:szCs w:val="24"/>
        </w:rPr>
        <w:t>Act, to seek the advice of the Utility Rates Review Council (URRC) on the utility’s request to impose a rate or tariff.</w:t>
      </w:r>
    </w:p>
    <w:p w14:paraId="1B8C6B81" w14:textId="1D14DEE6" w:rsidR="003D56E8" w:rsidRDefault="00AA767F">
      <w:pPr>
        <w:numPr>
          <w:ilvl w:val="2"/>
          <w:numId w:val="4"/>
        </w:numPr>
        <w:pBdr>
          <w:top w:val="nil"/>
          <w:left w:val="nil"/>
          <w:bottom w:val="nil"/>
          <w:right w:val="nil"/>
          <w:between w:val="nil"/>
        </w:pBdr>
        <w:tabs>
          <w:tab w:val="left" w:pos="885"/>
        </w:tabs>
        <w:spacing w:line="360" w:lineRule="auto"/>
        <w:ind w:right="116"/>
        <w:jc w:val="both"/>
        <w:rPr>
          <w:color w:val="000000"/>
          <w:sz w:val="24"/>
          <w:szCs w:val="24"/>
        </w:rPr>
      </w:pPr>
      <w:r>
        <w:rPr>
          <w:color w:val="000000"/>
          <w:sz w:val="24"/>
          <w:szCs w:val="24"/>
        </w:rPr>
        <w:t>By letter dated May 11, 2020, QEC applied</w:t>
      </w:r>
      <w:r w:rsidR="00241743">
        <w:rPr>
          <w:color w:val="000000"/>
          <w:sz w:val="24"/>
          <w:szCs w:val="24"/>
        </w:rPr>
        <w:t xml:space="preserve"> (the Application)</w:t>
      </w:r>
      <w:r>
        <w:rPr>
          <w:color w:val="000000"/>
          <w:sz w:val="24"/>
          <w:szCs w:val="24"/>
        </w:rPr>
        <w:t xml:space="preserve"> to the Minister responsible for QEC, requesting approval for a pricing structure and rates regarding the purchase of electricity from commercial and institutional power producers (CIPP)</w:t>
      </w:r>
      <w:r w:rsidR="00A13DC3">
        <w:rPr>
          <w:color w:val="000000"/>
          <w:sz w:val="24"/>
          <w:szCs w:val="24"/>
        </w:rPr>
        <w:t>.</w:t>
      </w:r>
      <w:r>
        <w:rPr>
          <w:color w:val="000000"/>
          <w:sz w:val="24"/>
          <w:szCs w:val="24"/>
        </w:rPr>
        <w:t xml:space="preserve"> On May 12, 2020, the</w:t>
      </w:r>
      <w:r>
        <w:rPr>
          <w:sz w:val="24"/>
          <w:szCs w:val="24"/>
        </w:rPr>
        <w:t xml:space="preserve"> </w:t>
      </w:r>
      <w:r>
        <w:rPr>
          <w:color w:val="000000"/>
          <w:sz w:val="24"/>
          <w:szCs w:val="24"/>
        </w:rPr>
        <w:t>Minister requested advice from the URRC with respect to QEC</w:t>
      </w:r>
      <w:r w:rsidR="006F6AD6">
        <w:rPr>
          <w:color w:val="000000"/>
          <w:sz w:val="24"/>
          <w:szCs w:val="24"/>
        </w:rPr>
        <w:t>’</w:t>
      </w:r>
      <w:r>
        <w:rPr>
          <w:color w:val="000000"/>
          <w:sz w:val="24"/>
          <w:szCs w:val="24"/>
        </w:rPr>
        <w:t>s Application. QEC subsequently clarified</w:t>
      </w:r>
      <w:r w:rsidRPr="00BF701A">
        <w:rPr>
          <w:b/>
          <w:color w:val="000000"/>
          <w:sz w:val="20"/>
          <w:szCs w:val="20"/>
          <w:vertAlign w:val="superscript"/>
        </w:rPr>
        <w:footnoteReference w:id="1"/>
      </w:r>
      <w:r>
        <w:rPr>
          <w:color w:val="000000"/>
          <w:sz w:val="24"/>
          <w:szCs w:val="24"/>
        </w:rPr>
        <w:t xml:space="preserve"> that </w:t>
      </w:r>
      <w:proofErr w:type="gramStart"/>
      <w:r>
        <w:rPr>
          <w:color w:val="000000"/>
          <w:sz w:val="24"/>
          <w:szCs w:val="24"/>
        </w:rPr>
        <w:t>its</w:t>
      </w:r>
      <w:proofErr w:type="gramEnd"/>
      <w:r>
        <w:rPr>
          <w:color w:val="000000"/>
          <w:sz w:val="24"/>
          <w:szCs w:val="24"/>
        </w:rPr>
        <w:t xml:space="preserve"> </w:t>
      </w:r>
      <w:r w:rsidR="00AA7180">
        <w:rPr>
          <w:color w:val="000000"/>
          <w:sz w:val="24"/>
          <w:szCs w:val="24"/>
        </w:rPr>
        <w:t>A</w:t>
      </w:r>
      <w:r>
        <w:rPr>
          <w:color w:val="000000"/>
          <w:sz w:val="24"/>
          <w:szCs w:val="24"/>
        </w:rPr>
        <w:t>pplication for the CIPP program did not include the imposition of a rate or tariff, and that the Minister responsible for QEC requested a URRC recommendation on how pricing will be established before considering the overall CIPP program application. QEC submitted that the request was made pursuant to section 7 (c) of the URRC Act.</w:t>
      </w:r>
    </w:p>
    <w:p w14:paraId="7504ED55" w14:textId="480A7EDE" w:rsidR="003D56E8" w:rsidRDefault="00AA767F">
      <w:pPr>
        <w:numPr>
          <w:ilvl w:val="2"/>
          <w:numId w:val="4"/>
        </w:numPr>
        <w:pBdr>
          <w:top w:val="nil"/>
          <w:left w:val="nil"/>
          <w:bottom w:val="nil"/>
          <w:right w:val="nil"/>
          <w:between w:val="nil"/>
        </w:pBdr>
        <w:tabs>
          <w:tab w:val="left" w:pos="885"/>
        </w:tabs>
        <w:spacing w:line="360" w:lineRule="auto"/>
        <w:ind w:right="116"/>
        <w:jc w:val="both"/>
        <w:rPr>
          <w:color w:val="000000"/>
          <w:sz w:val="24"/>
          <w:szCs w:val="24"/>
        </w:rPr>
      </w:pPr>
      <w:r>
        <w:rPr>
          <w:color w:val="000000"/>
          <w:sz w:val="24"/>
          <w:szCs w:val="24"/>
        </w:rPr>
        <w:t>Section 7</w:t>
      </w:r>
      <w:r w:rsidR="006F6AD6">
        <w:rPr>
          <w:color w:val="000000"/>
          <w:sz w:val="24"/>
          <w:szCs w:val="24"/>
        </w:rPr>
        <w:t xml:space="preserve"> </w:t>
      </w:r>
      <w:r>
        <w:rPr>
          <w:color w:val="000000"/>
          <w:sz w:val="24"/>
          <w:szCs w:val="24"/>
        </w:rPr>
        <w:t xml:space="preserve">(c) of the URRC Act states, among others, the purposes of the URRC are to advise the Minister responsible for the Qulliq Energy Corporation concerning any matter related to QEC that is referred to it by the responsible Minister on the advice of the Executive Council. Based on the clarification provided by QEC, the URRC is considering this matter under section 7 (c) of the URRC Act. The URRC’s consideration of the Application is set out in this </w:t>
      </w:r>
      <w:r w:rsidR="00AC7BA1">
        <w:rPr>
          <w:color w:val="000000"/>
          <w:sz w:val="24"/>
          <w:szCs w:val="24"/>
        </w:rPr>
        <w:t>R</w:t>
      </w:r>
      <w:r>
        <w:rPr>
          <w:color w:val="000000"/>
          <w:sz w:val="24"/>
          <w:szCs w:val="24"/>
        </w:rPr>
        <w:t>eport.</w:t>
      </w:r>
    </w:p>
    <w:p w14:paraId="5911BBEE" w14:textId="77777777" w:rsidR="003D56E8" w:rsidRDefault="003D56E8">
      <w:pPr>
        <w:pBdr>
          <w:top w:val="nil"/>
          <w:left w:val="nil"/>
          <w:bottom w:val="nil"/>
          <w:right w:val="nil"/>
          <w:between w:val="nil"/>
        </w:pBdr>
        <w:tabs>
          <w:tab w:val="left" w:pos="885"/>
        </w:tabs>
        <w:spacing w:before="90" w:line="360" w:lineRule="auto"/>
        <w:ind w:left="884" w:right="115" w:hanging="360"/>
        <w:jc w:val="both"/>
        <w:rPr>
          <w:color w:val="000000"/>
          <w:sz w:val="24"/>
          <w:szCs w:val="24"/>
        </w:rPr>
        <w:sectPr w:rsidR="003D56E8" w:rsidSect="00B26017">
          <w:footerReference w:type="default" r:id="rId16"/>
          <w:pgSz w:w="12240" w:h="15840"/>
          <w:pgMar w:top="1411" w:right="1310" w:bottom="1138" w:left="1310" w:header="720" w:footer="720" w:gutter="0"/>
          <w:pgNumType w:start="1"/>
          <w:cols w:space="720" w:equalWidth="0">
            <w:col w:w="9360"/>
          </w:cols>
        </w:sectPr>
      </w:pPr>
    </w:p>
    <w:p w14:paraId="27D7E885" w14:textId="24C961D2" w:rsidR="00916261" w:rsidRDefault="00916261" w:rsidP="00916261">
      <w:bookmarkStart w:id="9" w:name="bookmark=id.1t3h5sf" w:colFirst="0" w:colLast="0"/>
      <w:bookmarkStart w:id="10" w:name="_heading=h.tyjcwt" w:colFirst="0" w:colLast="0"/>
      <w:bookmarkEnd w:id="9"/>
      <w:bookmarkEnd w:id="10"/>
    </w:p>
    <w:p w14:paraId="5CBA7966" w14:textId="77777777" w:rsidR="00916261" w:rsidRPr="00916261" w:rsidRDefault="00916261" w:rsidP="00916261"/>
    <w:p w14:paraId="18638297" w14:textId="72CC6F54" w:rsidR="003D56E8" w:rsidRPr="00851F8B" w:rsidRDefault="00AA767F" w:rsidP="00851F8B">
      <w:pPr>
        <w:pStyle w:val="URRCHeading1"/>
        <w:rPr>
          <w:b w:val="0"/>
          <w:caps w:val="0"/>
        </w:rPr>
      </w:pPr>
      <w:bookmarkStart w:id="11" w:name="_Toc52808115"/>
      <w:r w:rsidRPr="00851F8B">
        <w:rPr>
          <w:caps w:val="0"/>
        </w:rPr>
        <w:t xml:space="preserve">PARTICULARS OF THE </w:t>
      </w:r>
      <w:r w:rsidRPr="00851F8B">
        <w:t>APPLICATION</w:t>
      </w:r>
      <w:bookmarkEnd w:id="11"/>
    </w:p>
    <w:p w14:paraId="3C958843" w14:textId="77777777" w:rsidR="003D56E8" w:rsidRPr="00B36D86" w:rsidRDefault="003D56E8">
      <w:pPr>
        <w:pBdr>
          <w:top w:val="nil"/>
          <w:left w:val="nil"/>
          <w:bottom w:val="nil"/>
          <w:right w:val="nil"/>
          <w:between w:val="nil"/>
        </w:pBdr>
        <w:spacing w:before="8"/>
        <w:rPr>
          <w:b/>
          <w:color w:val="000000"/>
          <w:sz w:val="24"/>
          <w:szCs w:val="24"/>
        </w:rPr>
      </w:pPr>
    </w:p>
    <w:p w14:paraId="4F994F07" w14:textId="5F2179C9" w:rsidR="003D56E8" w:rsidRDefault="00AA767F">
      <w:pPr>
        <w:numPr>
          <w:ilvl w:val="2"/>
          <w:numId w:val="4"/>
        </w:numPr>
        <w:pBdr>
          <w:top w:val="nil"/>
          <w:left w:val="nil"/>
          <w:bottom w:val="nil"/>
          <w:right w:val="nil"/>
          <w:between w:val="nil"/>
        </w:pBdr>
        <w:tabs>
          <w:tab w:val="left" w:pos="885"/>
        </w:tabs>
        <w:spacing w:line="360" w:lineRule="auto"/>
        <w:ind w:right="115"/>
        <w:rPr>
          <w:sz w:val="24"/>
          <w:szCs w:val="24"/>
        </w:rPr>
      </w:pPr>
      <w:r>
        <w:rPr>
          <w:color w:val="000000"/>
          <w:sz w:val="24"/>
          <w:szCs w:val="24"/>
        </w:rPr>
        <w:t xml:space="preserve">QEC applied for an instruction respecting an acceptable pricing structure and rates that regulate QEC regarding the purchase of electricity from </w:t>
      </w:r>
      <w:r w:rsidR="00071DC1">
        <w:rPr>
          <w:color w:val="000000"/>
          <w:sz w:val="24"/>
          <w:szCs w:val="24"/>
        </w:rPr>
        <w:t>CIPP customers</w:t>
      </w:r>
      <w:r>
        <w:rPr>
          <w:color w:val="000000"/>
          <w:sz w:val="24"/>
          <w:szCs w:val="24"/>
        </w:rPr>
        <w:t xml:space="preserve">. QEC submitted that it was developing a CIPP program that </w:t>
      </w:r>
      <w:r w:rsidR="00605058">
        <w:rPr>
          <w:color w:val="000000"/>
          <w:sz w:val="24"/>
          <w:szCs w:val="24"/>
        </w:rPr>
        <w:t xml:space="preserve">would </w:t>
      </w:r>
      <w:r>
        <w:rPr>
          <w:color w:val="000000"/>
          <w:sz w:val="24"/>
          <w:szCs w:val="24"/>
        </w:rPr>
        <w:t>allow existing CIPP customers to generate electricity using renewable energy systems and in turn sell the electricity to QEC.</w:t>
      </w:r>
    </w:p>
    <w:p w14:paraId="47798D78" w14:textId="77777777" w:rsidR="003D56E8" w:rsidRDefault="00AA767F">
      <w:pPr>
        <w:numPr>
          <w:ilvl w:val="2"/>
          <w:numId w:val="4"/>
        </w:numPr>
        <w:pBdr>
          <w:top w:val="nil"/>
          <w:left w:val="nil"/>
          <w:bottom w:val="nil"/>
          <w:right w:val="nil"/>
          <w:between w:val="nil"/>
        </w:pBdr>
        <w:tabs>
          <w:tab w:val="left" w:pos="885"/>
        </w:tabs>
        <w:spacing w:line="360" w:lineRule="auto"/>
        <w:ind w:right="115"/>
        <w:rPr>
          <w:sz w:val="24"/>
          <w:szCs w:val="24"/>
        </w:rPr>
      </w:pPr>
      <w:r>
        <w:rPr>
          <w:color w:val="000000"/>
          <w:sz w:val="24"/>
          <w:szCs w:val="24"/>
        </w:rPr>
        <w:t>QEC stated that the CIPP program will not increase costs for customers, nor will it affect the reliability of service, as CIPP customers/suppliers will still be connected to QEC’s grid. Eligible CIPP customers/suppliers will be able to sell power to QEC based on each community’s energy requirements and capacity limits.</w:t>
      </w:r>
    </w:p>
    <w:p w14:paraId="1D350AD7" w14:textId="77777777" w:rsidR="003D56E8" w:rsidRDefault="00AA767F">
      <w:pPr>
        <w:numPr>
          <w:ilvl w:val="2"/>
          <w:numId w:val="4"/>
        </w:numPr>
        <w:pBdr>
          <w:top w:val="nil"/>
          <w:left w:val="nil"/>
          <w:bottom w:val="nil"/>
          <w:right w:val="nil"/>
          <w:between w:val="nil"/>
        </w:pBdr>
        <w:tabs>
          <w:tab w:val="left" w:pos="885"/>
        </w:tabs>
        <w:spacing w:line="360" w:lineRule="auto"/>
        <w:ind w:right="115"/>
        <w:rPr>
          <w:color w:val="000000"/>
          <w:sz w:val="24"/>
          <w:szCs w:val="24"/>
        </w:rPr>
      </w:pPr>
      <w:r>
        <w:rPr>
          <w:color w:val="000000"/>
          <w:sz w:val="24"/>
          <w:szCs w:val="24"/>
        </w:rPr>
        <w:t>QEC submitted that the CIPP program was anticipated to launch in 2020-2021 pending Cabinet approval.</w:t>
      </w:r>
    </w:p>
    <w:p w14:paraId="16ED9035" w14:textId="4846F6E0" w:rsidR="003D56E8" w:rsidRDefault="00AA767F">
      <w:pPr>
        <w:numPr>
          <w:ilvl w:val="2"/>
          <w:numId w:val="4"/>
        </w:numPr>
        <w:pBdr>
          <w:top w:val="nil"/>
          <w:left w:val="nil"/>
          <w:bottom w:val="nil"/>
          <w:right w:val="nil"/>
          <w:between w:val="nil"/>
        </w:pBdr>
        <w:tabs>
          <w:tab w:val="left" w:pos="885"/>
        </w:tabs>
        <w:spacing w:line="360" w:lineRule="auto"/>
        <w:ind w:right="115"/>
        <w:rPr>
          <w:sz w:val="24"/>
          <w:szCs w:val="24"/>
        </w:rPr>
      </w:pPr>
      <w:r>
        <w:rPr>
          <w:color w:val="000000"/>
          <w:sz w:val="24"/>
          <w:szCs w:val="24"/>
        </w:rPr>
        <w:t xml:space="preserve">QEC stated that the CIPP program was based on its review of pricing option practices in other Canadian jurisdictions. Based on that review QEC submitted that it considered three pricing structure options. All three options were based on the avoided cost of diesel. The avoided cost of diesel will be based </w:t>
      </w:r>
      <w:r w:rsidR="0087583F">
        <w:rPr>
          <w:color w:val="000000"/>
          <w:sz w:val="24"/>
          <w:szCs w:val="24"/>
        </w:rPr>
        <w:t>on pricing from years prior</w:t>
      </w:r>
      <w:r>
        <w:rPr>
          <w:color w:val="000000"/>
          <w:sz w:val="24"/>
          <w:szCs w:val="24"/>
        </w:rPr>
        <w:t xml:space="preserve"> for QEC. The prior year data will be extracted in compliance with QEC’s accounting fiscal year</w:t>
      </w:r>
      <w:r w:rsidR="0087583F">
        <w:rPr>
          <w:color w:val="000000"/>
          <w:sz w:val="24"/>
          <w:szCs w:val="24"/>
        </w:rPr>
        <w:t>s</w:t>
      </w:r>
      <w:r>
        <w:rPr>
          <w:color w:val="000000"/>
          <w:sz w:val="24"/>
          <w:szCs w:val="24"/>
        </w:rPr>
        <w:t xml:space="preserve">, from April 1 to March 31. </w:t>
      </w:r>
    </w:p>
    <w:p w14:paraId="32C1FA47" w14:textId="77777777" w:rsidR="003D56E8" w:rsidRDefault="00AA767F">
      <w:pPr>
        <w:numPr>
          <w:ilvl w:val="2"/>
          <w:numId w:val="4"/>
        </w:numPr>
        <w:pBdr>
          <w:top w:val="nil"/>
          <w:left w:val="nil"/>
          <w:bottom w:val="nil"/>
          <w:right w:val="nil"/>
          <w:between w:val="nil"/>
        </w:pBdr>
        <w:tabs>
          <w:tab w:val="left" w:pos="885"/>
        </w:tabs>
        <w:spacing w:line="360" w:lineRule="auto"/>
        <w:ind w:right="115"/>
        <w:rPr>
          <w:sz w:val="24"/>
          <w:szCs w:val="24"/>
        </w:rPr>
      </w:pPr>
      <w:r>
        <w:rPr>
          <w:color w:val="000000"/>
          <w:sz w:val="24"/>
          <w:szCs w:val="24"/>
        </w:rPr>
        <w:t>The three options included an initial rate for a CIPP</w:t>
      </w:r>
      <w:sdt>
        <w:sdtPr>
          <w:tag w:val="goog_rdk_13"/>
          <w:id w:val="-2141560909"/>
        </w:sdtPr>
        <w:sdtEndPr/>
        <w:sdtContent>
          <w:r w:rsidR="00F512C9">
            <w:t xml:space="preserve"> </w:t>
          </w:r>
          <w:r>
            <w:rPr>
              <w:color w:val="000000"/>
              <w:sz w:val="24"/>
              <w:szCs w:val="24"/>
            </w:rPr>
            <w:t>proponent</w:t>
          </w:r>
        </w:sdtContent>
      </w:sdt>
      <w:r>
        <w:rPr>
          <w:color w:val="000000"/>
          <w:sz w:val="24"/>
          <w:szCs w:val="24"/>
        </w:rPr>
        <w:t xml:space="preserve"> entering into a power purchase agreement (PPA), a guaranteed minimum rate for the life of the PPA, a mechanism and frequency for adjusting the power purchase price, and a 25-year term for the PPA. QEC provided some details about each of the three options.</w:t>
      </w:r>
    </w:p>
    <w:p w14:paraId="56AB3209" w14:textId="77777777" w:rsidR="003D56E8" w:rsidRDefault="00AA767F">
      <w:pPr>
        <w:numPr>
          <w:ilvl w:val="2"/>
          <w:numId w:val="4"/>
        </w:numPr>
        <w:pBdr>
          <w:top w:val="nil"/>
          <w:left w:val="nil"/>
          <w:bottom w:val="nil"/>
          <w:right w:val="nil"/>
          <w:between w:val="nil"/>
        </w:pBdr>
        <w:tabs>
          <w:tab w:val="left" w:pos="885"/>
        </w:tabs>
        <w:spacing w:line="360" w:lineRule="auto"/>
        <w:ind w:right="115"/>
        <w:rPr>
          <w:sz w:val="24"/>
          <w:szCs w:val="24"/>
        </w:rPr>
      </w:pPr>
      <w:r>
        <w:rPr>
          <w:color w:val="000000"/>
          <w:sz w:val="24"/>
          <w:szCs w:val="24"/>
        </w:rPr>
        <w:t>QEC recommended its third option, which included aspects of the other two options. As summarized by QEC:</w:t>
      </w:r>
    </w:p>
    <w:p w14:paraId="00AB5E9C" w14:textId="3EE579DD" w:rsidR="003D56E8" w:rsidRDefault="00E725FC" w:rsidP="005772D0">
      <w:pPr>
        <w:widowControl/>
        <w:numPr>
          <w:ilvl w:val="3"/>
          <w:numId w:val="4"/>
        </w:numPr>
        <w:pBdr>
          <w:top w:val="nil"/>
          <w:left w:val="nil"/>
          <w:bottom w:val="nil"/>
          <w:right w:val="nil"/>
          <w:between w:val="nil"/>
        </w:pBdr>
        <w:tabs>
          <w:tab w:val="left" w:pos="885"/>
        </w:tabs>
        <w:spacing w:line="360" w:lineRule="auto"/>
        <w:ind w:left="1541" w:right="-14" w:hanging="274"/>
        <w:rPr>
          <w:sz w:val="24"/>
          <w:szCs w:val="24"/>
        </w:rPr>
      </w:pPr>
      <w:r>
        <w:rPr>
          <w:color w:val="000000"/>
          <w:sz w:val="24"/>
          <w:szCs w:val="24"/>
        </w:rPr>
        <w:t>T</w:t>
      </w:r>
      <w:r w:rsidR="00AA767F">
        <w:rPr>
          <w:color w:val="000000"/>
          <w:sz w:val="24"/>
          <w:szCs w:val="24"/>
        </w:rPr>
        <w:t xml:space="preserve">he initial rate for a CIPP could be calculated based on either annual data of the fiscal year preceding the date on which the PPA takes effect, or on the average annual data of the prior 3 years preceding the date on which the PPA takes effect, with approval of the rate to be recalculated through the URRC’s review and recommendation. QEC proposed that the review and recalculation would be done </w:t>
      </w:r>
      <w:r w:rsidR="00AA767F">
        <w:rPr>
          <w:color w:val="000000"/>
          <w:sz w:val="24"/>
          <w:szCs w:val="24"/>
        </w:rPr>
        <w:lastRenderedPageBreak/>
        <w:t xml:space="preserve">when it applied for a </w:t>
      </w:r>
      <w:r w:rsidR="005772D0">
        <w:rPr>
          <w:color w:val="000000"/>
          <w:sz w:val="24"/>
          <w:szCs w:val="24"/>
        </w:rPr>
        <w:t>general rate application (</w:t>
      </w:r>
      <w:r w:rsidR="00AA767F">
        <w:rPr>
          <w:color w:val="000000"/>
          <w:sz w:val="24"/>
          <w:szCs w:val="24"/>
        </w:rPr>
        <w:t>GRA</w:t>
      </w:r>
      <w:r w:rsidR="005772D0">
        <w:rPr>
          <w:color w:val="000000"/>
          <w:sz w:val="24"/>
          <w:szCs w:val="24"/>
        </w:rPr>
        <w:t>)</w:t>
      </w:r>
      <w:r w:rsidR="00AA767F">
        <w:rPr>
          <w:color w:val="000000"/>
          <w:sz w:val="24"/>
          <w:szCs w:val="24"/>
        </w:rPr>
        <w:t>. QEC recommended the 3</w:t>
      </w:r>
      <w:r w:rsidR="005772D0">
        <w:rPr>
          <w:color w:val="000000"/>
          <w:sz w:val="24"/>
          <w:szCs w:val="24"/>
        </w:rPr>
        <w:noBreakHyphen/>
      </w:r>
      <w:r w:rsidR="00AA767F">
        <w:rPr>
          <w:color w:val="000000"/>
          <w:sz w:val="24"/>
          <w:szCs w:val="24"/>
        </w:rPr>
        <w:t>year average method</w:t>
      </w:r>
      <w:r>
        <w:rPr>
          <w:color w:val="000000"/>
          <w:sz w:val="24"/>
          <w:szCs w:val="24"/>
        </w:rPr>
        <w:t>.</w:t>
      </w:r>
    </w:p>
    <w:p w14:paraId="49594A42" w14:textId="61C50E68" w:rsidR="003D56E8" w:rsidRDefault="00E725FC" w:rsidP="00F76E84">
      <w:pPr>
        <w:numPr>
          <w:ilvl w:val="3"/>
          <w:numId w:val="4"/>
        </w:numPr>
        <w:pBdr>
          <w:top w:val="nil"/>
          <w:left w:val="nil"/>
          <w:bottom w:val="nil"/>
          <w:right w:val="nil"/>
          <w:between w:val="nil"/>
        </w:pBdr>
        <w:tabs>
          <w:tab w:val="left" w:pos="885"/>
        </w:tabs>
        <w:spacing w:before="120" w:line="360" w:lineRule="auto"/>
        <w:ind w:left="1541" w:right="115" w:hanging="274"/>
        <w:rPr>
          <w:sz w:val="24"/>
          <w:szCs w:val="24"/>
        </w:rPr>
      </w:pPr>
      <w:r>
        <w:rPr>
          <w:color w:val="000000"/>
          <w:sz w:val="24"/>
          <w:szCs w:val="24"/>
        </w:rPr>
        <w:t>T</w:t>
      </w:r>
      <w:r w:rsidR="00AA767F">
        <w:rPr>
          <w:color w:val="000000"/>
          <w:sz w:val="24"/>
          <w:szCs w:val="24"/>
        </w:rPr>
        <w:t>he initial rate will be considered the guaranteed minimum rate for the life of the PPA</w:t>
      </w:r>
      <w:r>
        <w:rPr>
          <w:color w:val="000000"/>
          <w:sz w:val="24"/>
          <w:szCs w:val="24"/>
        </w:rPr>
        <w:t>.</w:t>
      </w:r>
    </w:p>
    <w:p w14:paraId="018299AD" w14:textId="6081F998" w:rsidR="003D56E8" w:rsidRDefault="00E725FC">
      <w:pPr>
        <w:numPr>
          <w:ilvl w:val="3"/>
          <w:numId w:val="4"/>
        </w:numPr>
        <w:pBdr>
          <w:top w:val="nil"/>
          <w:left w:val="nil"/>
          <w:bottom w:val="nil"/>
          <w:right w:val="nil"/>
          <w:between w:val="nil"/>
        </w:pBdr>
        <w:tabs>
          <w:tab w:val="left" w:pos="885"/>
        </w:tabs>
        <w:spacing w:line="360" w:lineRule="auto"/>
        <w:ind w:right="115" w:hanging="275"/>
        <w:rPr>
          <w:sz w:val="24"/>
          <w:szCs w:val="24"/>
        </w:rPr>
      </w:pPr>
      <w:r>
        <w:rPr>
          <w:color w:val="000000"/>
          <w:sz w:val="24"/>
          <w:szCs w:val="24"/>
        </w:rPr>
        <w:t>T</w:t>
      </w:r>
      <w:r w:rsidR="00AA767F">
        <w:rPr>
          <w:color w:val="000000"/>
          <w:sz w:val="24"/>
          <w:szCs w:val="24"/>
        </w:rPr>
        <w:t>he power purchase rate will be recalculated annually using either the previous year’s fuel prices or the previous 3-year average fuel prices, but only reviewed by the URRC pursuant to a GRA</w:t>
      </w:r>
      <w:r>
        <w:rPr>
          <w:color w:val="000000"/>
          <w:sz w:val="24"/>
          <w:szCs w:val="24"/>
        </w:rPr>
        <w:t>:</w:t>
      </w:r>
    </w:p>
    <w:p w14:paraId="0A4E3CAC" w14:textId="75511754" w:rsidR="003D56E8" w:rsidRDefault="00A755CB" w:rsidP="005772D0">
      <w:pPr>
        <w:pStyle w:val="ListParagraph"/>
        <w:numPr>
          <w:ilvl w:val="0"/>
          <w:numId w:val="9"/>
        </w:numPr>
        <w:pBdr>
          <w:top w:val="nil"/>
          <w:left w:val="nil"/>
          <w:bottom w:val="nil"/>
          <w:right w:val="nil"/>
          <w:between w:val="nil"/>
        </w:pBdr>
        <w:tabs>
          <w:tab w:val="left" w:pos="885"/>
        </w:tabs>
        <w:spacing w:before="60" w:line="360" w:lineRule="auto"/>
        <w:ind w:left="2160" w:right="115"/>
        <w:rPr>
          <w:sz w:val="24"/>
          <w:szCs w:val="24"/>
        </w:rPr>
      </w:pPr>
      <w:r>
        <w:rPr>
          <w:color w:val="000000"/>
          <w:sz w:val="24"/>
          <w:szCs w:val="24"/>
        </w:rPr>
        <w:t>T</w:t>
      </w:r>
      <w:r w:rsidR="00AA767F">
        <w:rPr>
          <w:color w:val="000000"/>
          <w:sz w:val="24"/>
          <w:szCs w:val="24"/>
        </w:rPr>
        <w:t>he power purchase rate will be escalated for the current year at 50% of the annual increase of the avoided cost of diesel if the diesel price increased relative to the past year</w:t>
      </w:r>
      <w:r>
        <w:rPr>
          <w:color w:val="000000"/>
          <w:sz w:val="24"/>
          <w:szCs w:val="24"/>
        </w:rPr>
        <w:t>.</w:t>
      </w:r>
    </w:p>
    <w:p w14:paraId="767A3626" w14:textId="063AB115" w:rsidR="003D56E8" w:rsidRDefault="00A755CB" w:rsidP="005772D0">
      <w:pPr>
        <w:pStyle w:val="ListParagraph"/>
        <w:numPr>
          <w:ilvl w:val="0"/>
          <w:numId w:val="9"/>
        </w:numPr>
        <w:pBdr>
          <w:top w:val="nil"/>
          <w:left w:val="nil"/>
          <w:bottom w:val="nil"/>
          <w:right w:val="nil"/>
          <w:between w:val="nil"/>
        </w:pBdr>
        <w:tabs>
          <w:tab w:val="left" w:pos="885"/>
        </w:tabs>
        <w:spacing w:before="60" w:line="360" w:lineRule="auto"/>
        <w:ind w:left="2160" w:right="115"/>
        <w:rPr>
          <w:sz w:val="24"/>
          <w:szCs w:val="24"/>
        </w:rPr>
      </w:pPr>
      <w:r>
        <w:rPr>
          <w:color w:val="000000"/>
          <w:sz w:val="24"/>
          <w:szCs w:val="24"/>
        </w:rPr>
        <w:t>T</w:t>
      </w:r>
      <w:r w:rsidR="00AA767F">
        <w:rPr>
          <w:color w:val="000000"/>
          <w:sz w:val="24"/>
          <w:szCs w:val="24"/>
        </w:rPr>
        <w:t>he power purchase rate will be de-escalated for the current year at 100% of the annual or 3-year average decrease of the avoided cost of diesel if the diesel price decreased relative to the past annual or 3-year average. The rate will not decrease below the initial rate set in the PPA</w:t>
      </w:r>
      <w:r>
        <w:rPr>
          <w:color w:val="000000"/>
          <w:sz w:val="24"/>
          <w:szCs w:val="24"/>
        </w:rPr>
        <w:t>.</w:t>
      </w:r>
    </w:p>
    <w:p w14:paraId="497C46D4" w14:textId="514A93A3" w:rsidR="003D56E8" w:rsidRDefault="00A755CB" w:rsidP="005772D0">
      <w:pPr>
        <w:pStyle w:val="ListParagraph"/>
        <w:numPr>
          <w:ilvl w:val="0"/>
          <w:numId w:val="9"/>
        </w:numPr>
        <w:pBdr>
          <w:top w:val="nil"/>
          <w:left w:val="nil"/>
          <w:bottom w:val="nil"/>
          <w:right w:val="nil"/>
          <w:between w:val="nil"/>
        </w:pBdr>
        <w:tabs>
          <w:tab w:val="left" w:pos="885"/>
        </w:tabs>
        <w:spacing w:before="60" w:line="360" w:lineRule="auto"/>
        <w:ind w:left="2160" w:right="115"/>
        <w:rPr>
          <w:sz w:val="24"/>
          <w:szCs w:val="24"/>
        </w:rPr>
      </w:pPr>
      <w:r>
        <w:rPr>
          <w:color w:val="000000"/>
          <w:sz w:val="24"/>
          <w:szCs w:val="24"/>
        </w:rPr>
        <w:t xml:space="preserve">The </w:t>
      </w:r>
      <w:r w:rsidR="00AA767F">
        <w:rPr>
          <w:color w:val="000000"/>
          <w:sz w:val="24"/>
          <w:szCs w:val="24"/>
        </w:rPr>
        <w:t>overall power purchase rate increases for the term of the agreement is capped at 20% of the initial rate offered in the PPA</w:t>
      </w:r>
      <w:r>
        <w:rPr>
          <w:color w:val="000000"/>
          <w:sz w:val="24"/>
          <w:szCs w:val="24"/>
        </w:rPr>
        <w:t>.</w:t>
      </w:r>
    </w:p>
    <w:p w14:paraId="3FB60E5B" w14:textId="62A5F9DE" w:rsidR="003D56E8" w:rsidRDefault="00E725FC">
      <w:pPr>
        <w:numPr>
          <w:ilvl w:val="3"/>
          <w:numId w:val="4"/>
        </w:numPr>
        <w:pBdr>
          <w:top w:val="nil"/>
          <w:left w:val="nil"/>
          <w:bottom w:val="nil"/>
          <w:right w:val="nil"/>
          <w:between w:val="nil"/>
        </w:pBdr>
        <w:tabs>
          <w:tab w:val="left" w:pos="885"/>
        </w:tabs>
        <w:spacing w:line="360" w:lineRule="auto"/>
        <w:ind w:right="115" w:hanging="275"/>
        <w:rPr>
          <w:sz w:val="24"/>
          <w:szCs w:val="24"/>
        </w:rPr>
      </w:pPr>
      <w:r>
        <w:rPr>
          <w:color w:val="000000"/>
          <w:sz w:val="24"/>
          <w:szCs w:val="24"/>
        </w:rPr>
        <w:t>T</w:t>
      </w:r>
      <w:r w:rsidR="00AA767F">
        <w:rPr>
          <w:color w:val="000000"/>
          <w:sz w:val="24"/>
          <w:szCs w:val="24"/>
        </w:rPr>
        <w:t>he PPA term will be 25 years</w:t>
      </w:r>
      <w:r>
        <w:rPr>
          <w:color w:val="000000"/>
          <w:sz w:val="24"/>
          <w:szCs w:val="24"/>
        </w:rPr>
        <w:t>.</w:t>
      </w:r>
    </w:p>
    <w:p w14:paraId="46517CA5" w14:textId="146F9537" w:rsidR="003D56E8" w:rsidRDefault="00E725FC">
      <w:pPr>
        <w:numPr>
          <w:ilvl w:val="3"/>
          <w:numId w:val="4"/>
        </w:numPr>
        <w:pBdr>
          <w:top w:val="nil"/>
          <w:left w:val="nil"/>
          <w:bottom w:val="nil"/>
          <w:right w:val="nil"/>
          <w:between w:val="nil"/>
        </w:pBdr>
        <w:tabs>
          <w:tab w:val="left" w:pos="885"/>
        </w:tabs>
        <w:spacing w:line="360" w:lineRule="auto"/>
        <w:ind w:right="115" w:hanging="275"/>
        <w:rPr>
          <w:sz w:val="24"/>
          <w:szCs w:val="24"/>
        </w:rPr>
      </w:pPr>
      <w:r>
        <w:rPr>
          <w:color w:val="000000"/>
          <w:sz w:val="24"/>
          <w:szCs w:val="24"/>
        </w:rPr>
        <w:t>T</w:t>
      </w:r>
      <w:r w:rsidR="00AA767F">
        <w:rPr>
          <w:color w:val="000000"/>
          <w:sz w:val="24"/>
          <w:szCs w:val="24"/>
        </w:rPr>
        <w:t>he current initial power purchase rate based on QEC’s recommendations is $0.2520 per kWh.</w:t>
      </w:r>
    </w:p>
    <w:p w14:paraId="3F2799A3" w14:textId="6F914693" w:rsidR="003D56E8" w:rsidRDefault="00AA767F">
      <w:pPr>
        <w:numPr>
          <w:ilvl w:val="2"/>
          <w:numId w:val="4"/>
        </w:numPr>
        <w:pBdr>
          <w:top w:val="nil"/>
          <w:left w:val="nil"/>
          <w:bottom w:val="nil"/>
          <w:right w:val="nil"/>
          <w:between w:val="nil"/>
        </w:pBdr>
        <w:tabs>
          <w:tab w:val="left" w:pos="885"/>
        </w:tabs>
        <w:spacing w:line="360" w:lineRule="auto"/>
        <w:ind w:right="115"/>
        <w:rPr>
          <w:color w:val="000000"/>
          <w:sz w:val="24"/>
          <w:szCs w:val="24"/>
        </w:rPr>
      </w:pPr>
      <w:r>
        <w:rPr>
          <w:color w:val="000000"/>
          <w:sz w:val="24"/>
          <w:szCs w:val="24"/>
        </w:rPr>
        <w:t xml:space="preserve">QEC clarified aspects of its </w:t>
      </w:r>
      <w:r w:rsidR="00AA7180">
        <w:rPr>
          <w:color w:val="000000"/>
          <w:sz w:val="24"/>
          <w:szCs w:val="24"/>
        </w:rPr>
        <w:t>A</w:t>
      </w:r>
      <w:r>
        <w:rPr>
          <w:color w:val="000000"/>
          <w:sz w:val="24"/>
          <w:szCs w:val="24"/>
        </w:rPr>
        <w:t>pplication through its responses to the URRC’s information requests</w:t>
      </w:r>
      <w:r w:rsidR="00071DC1">
        <w:rPr>
          <w:color w:val="000000"/>
          <w:sz w:val="24"/>
          <w:szCs w:val="24"/>
        </w:rPr>
        <w:t xml:space="preserve"> (IR)</w:t>
      </w:r>
      <w:r>
        <w:rPr>
          <w:color w:val="000000"/>
          <w:sz w:val="24"/>
          <w:szCs w:val="24"/>
        </w:rPr>
        <w:t xml:space="preserve">. Some of the clarifications are noted, in part, in the Examination of the Application section of this </w:t>
      </w:r>
      <w:r w:rsidR="00AC7BA1">
        <w:rPr>
          <w:color w:val="000000"/>
          <w:sz w:val="24"/>
          <w:szCs w:val="24"/>
        </w:rPr>
        <w:t>R</w:t>
      </w:r>
      <w:r>
        <w:rPr>
          <w:color w:val="000000"/>
          <w:sz w:val="24"/>
          <w:szCs w:val="24"/>
        </w:rPr>
        <w:t>eport. The details of all QEC information responses</w:t>
      </w:r>
      <w:r w:rsidR="0087583F">
        <w:rPr>
          <w:color w:val="000000"/>
          <w:sz w:val="24"/>
          <w:szCs w:val="24"/>
        </w:rPr>
        <w:t xml:space="preserve"> are</w:t>
      </w:r>
      <w:r>
        <w:rPr>
          <w:color w:val="000000"/>
          <w:sz w:val="24"/>
          <w:szCs w:val="24"/>
        </w:rPr>
        <w:t xml:space="preserve"> not reflected in this </w:t>
      </w:r>
      <w:r w:rsidR="00AC7BA1">
        <w:rPr>
          <w:color w:val="000000"/>
          <w:sz w:val="24"/>
          <w:szCs w:val="24"/>
        </w:rPr>
        <w:t>R</w:t>
      </w:r>
      <w:r>
        <w:rPr>
          <w:color w:val="000000"/>
          <w:sz w:val="24"/>
          <w:szCs w:val="24"/>
        </w:rPr>
        <w:t>eport.</w:t>
      </w:r>
    </w:p>
    <w:p w14:paraId="6D3DD7EE" w14:textId="77777777" w:rsidR="003D56E8" w:rsidRDefault="003D56E8">
      <w:pPr>
        <w:pBdr>
          <w:top w:val="nil"/>
          <w:left w:val="nil"/>
          <w:bottom w:val="nil"/>
          <w:right w:val="nil"/>
          <w:between w:val="nil"/>
        </w:pBdr>
        <w:tabs>
          <w:tab w:val="left" w:pos="885"/>
        </w:tabs>
        <w:spacing w:line="360" w:lineRule="auto"/>
        <w:ind w:left="884" w:right="115"/>
        <w:rPr>
          <w:color w:val="000000"/>
          <w:sz w:val="24"/>
          <w:szCs w:val="24"/>
        </w:rPr>
      </w:pPr>
    </w:p>
    <w:p w14:paraId="7891BDDE" w14:textId="77777777" w:rsidR="003D56E8" w:rsidRDefault="003D56E8">
      <w:pPr>
        <w:pBdr>
          <w:top w:val="nil"/>
          <w:left w:val="nil"/>
          <w:bottom w:val="nil"/>
          <w:right w:val="nil"/>
          <w:between w:val="nil"/>
        </w:pBdr>
        <w:tabs>
          <w:tab w:val="left" w:pos="885"/>
        </w:tabs>
        <w:spacing w:line="360" w:lineRule="auto"/>
        <w:ind w:right="115"/>
        <w:rPr>
          <w:color w:val="000000"/>
          <w:sz w:val="24"/>
          <w:szCs w:val="24"/>
        </w:rPr>
      </w:pPr>
    </w:p>
    <w:p w14:paraId="0A2DE9F5" w14:textId="77777777" w:rsidR="003D56E8" w:rsidRDefault="003D56E8">
      <w:pPr>
        <w:pBdr>
          <w:top w:val="nil"/>
          <w:left w:val="nil"/>
          <w:bottom w:val="nil"/>
          <w:right w:val="nil"/>
          <w:between w:val="nil"/>
        </w:pBdr>
        <w:tabs>
          <w:tab w:val="left" w:pos="885"/>
        </w:tabs>
        <w:spacing w:line="360" w:lineRule="auto"/>
        <w:ind w:right="115"/>
        <w:rPr>
          <w:color w:val="000000"/>
          <w:sz w:val="24"/>
          <w:szCs w:val="24"/>
        </w:rPr>
      </w:pPr>
    </w:p>
    <w:p w14:paraId="1E751CAB" w14:textId="77777777" w:rsidR="003D56E8" w:rsidRDefault="003D56E8">
      <w:pPr>
        <w:pBdr>
          <w:top w:val="nil"/>
          <w:left w:val="nil"/>
          <w:bottom w:val="nil"/>
          <w:right w:val="nil"/>
          <w:between w:val="nil"/>
        </w:pBdr>
        <w:tabs>
          <w:tab w:val="left" w:pos="885"/>
        </w:tabs>
        <w:spacing w:line="360" w:lineRule="auto"/>
        <w:ind w:right="115"/>
        <w:rPr>
          <w:color w:val="000000"/>
          <w:sz w:val="24"/>
          <w:szCs w:val="24"/>
        </w:rPr>
        <w:sectPr w:rsidR="003D56E8">
          <w:pgSz w:w="12240" w:h="15840"/>
          <w:pgMar w:top="1411" w:right="1310" w:bottom="1138" w:left="1310" w:header="720" w:footer="720" w:gutter="0"/>
          <w:cols w:space="720" w:equalWidth="0">
            <w:col w:w="9360"/>
          </w:cols>
        </w:sectPr>
      </w:pPr>
    </w:p>
    <w:p w14:paraId="177FFAED" w14:textId="23CA2021" w:rsidR="00F76E84" w:rsidRDefault="00F76E84" w:rsidP="00F76E84">
      <w:bookmarkStart w:id="12" w:name="bookmark=id.3dy6vkm" w:colFirst="0" w:colLast="0"/>
      <w:bookmarkStart w:id="13" w:name="_heading=h.1t3h5sf" w:colFirst="0" w:colLast="0"/>
      <w:bookmarkEnd w:id="12"/>
      <w:bookmarkEnd w:id="13"/>
    </w:p>
    <w:p w14:paraId="1C3F5726" w14:textId="77777777" w:rsidR="00F76E84" w:rsidRDefault="00F76E84" w:rsidP="00F76E84"/>
    <w:p w14:paraId="0DD99C99" w14:textId="315EA8D7" w:rsidR="003D56E8" w:rsidRDefault="00AA767F" w:rsidP="00851F8B">
      <w:pPr>
        <w:pStyle w:val="URRCHeading1"/>
      </w:pPr>
      <w:bookmarkStart w:id="14" w:name="_Toc52808116"/>
      <w:r>
        <w:t>PROCESS</w:t>
      </w:r>
      <w:bookmarkEnd w:id="14"/>
    </w:p>
    <w:p w14:paraId="70595034" w14:textId="77777777" w:rsidR="003D56E8" w:rsidRPr="00F76E84" w:rsidRDefault="003D56E8">
      <w:pPr>
        <w:pBdr>
          <w:top w:val="nil"/>
          <w:left w:val="nil"/>
          <w:bottom w:val="nil"/>
          <w:right w:val="nil"/>
          <w:between w:val="nil"/>
        </w:pBdr>
        <w:spacing w:before="10"/>
        <w:rPr>
          <w:b/>
          <w:color w:val="000000"/>
          <w:sz w:val="24"/>
          <w:szCs w:val="24"/>
        </w:rPr>
      </w:pPr>
    </w:p>
    <w:p w14:paraId="2D66C4B1" w14:textId="77777777" w:rsidR="003D56E8" w:rsidRDefault="00AA767F" w:rsidP="00851F8B">
      <w:pPr>
        <w:pStyle w:val="URRCHeading2"/>
      </w:pPr>
      <w:bookmarkStart w:id="15" w:name="bookmark=id.4d34og8" w:colFirst="0" w:colLast="0"/>
      <w:bookmarkStart w:id="16" w:name="_heading=h.2s8eyo1" w:colFirst="0" w:colLast="0"/>
      <w:bookmarkStart w:id="17" w:name="_Toc52808117"/>
      <w:bookmarkEnd w:id="15"/>
      <w:bookmarkEnd w:id="16"/>
      <w:r>
        <w:t>MAJOR OR MINOR APPLICATION</w:t>
      </w:r>
      <w:bookmarkEnd w:id="17"/>
    </w:p>
    <w:p w14:paraId="5A94800F" w14:textId="77777777" w:rsidR="003D56E8" w:rsidRPr="00CD69B1" w:rsidRDefault="003D56E8">
      <w:pPr>
        <w:pBdr>
          <w:top w:val="nil"/>
          <w:left w:val="nil"/>
          <w:bottom w:val="nil"/>
          <w:right w:val="nil"/>
          <w:between w:val="nil"/>
        </w:pBdr>
        <w:spacing w:before="10"/>
        <w:rPr>
          <w:color w:val="000000"/>
          <w:sz w:val="24"/>
          <w:szCs w:val="24"/>
        </w:rPr>
      </w:pPr>
    </w:p>
    <w:p w14:paraId="0E019D6A" w14:textId="5455F892" w:rsidR="003D56E8" w:rsidRDefault="00AA767F">
      <w:pPr>
        <w:numPr>
          <w:ilvl w:val="2"/>
          <w:numId w:val="4"/>
        </w:numPr>
        <w:pBdr>
          <w:top w:val="nil"/>
          <w:left w:val="nil"/>
          <w:bottom w:val="nil"/>
          <w:right w:val="nil"/>
          <w:between w:val="nil"/>
        </w:pBdr>
        <w:tabs>
          <w:tab w:val="left" w:pos="885"/>
        </w:tabs>
        <w:spacing w:line="360" w:lineRule="auto"/>
        <w:ind w:right="117"/>
        <w:jc w:val="both"/>
        <w:rPr>
          <w:color w:val="000000"/>
          <w:sz w:val="24"/>
          <w:szCs w:val="24"/>
        </w:rPr>
      </w:pPr>
      <w:r>
        <w:rPr>
          <w:color w:val="000000"/>
          <w:sz w:val="24"/>
          <w:szCs w:val="24"/>
        </w:rPr>
        <w:t xml:space="preserve">Under the URRC Act, it is directed that at the sole discretion of the URRC, the URRC shall determine whether an </w:t>
      </w:r>
      <w:r>
        <w:rPr>
          <w:sz w:val="24"/>
          <w:szCs w:val="24"/>
        </w:rPr>
        <w:t>a</w:t>
      </w:r>
      <w:r>
        <w:rPr>
          <w:color w:val="000000"/>
          <w:sz w:val="24"/>
          <w:szCs w:val="24"/>
        </w:rPr>
        <w:t xml:space="preserve">pplication is either </w:t>
      </w:r>
      <w:r>
        <w:rPr>
          <w:sz w:val="24"/>
          <w:szCs w:val="24"/>
        </w:rPr>
        <w:t>m</w:t>
      </w:r>
      <w:r>
        <w:rPr>
          <w:color w:val="000000"/>
          <w:sz w:val="24"/>
          <w:szCs w:val="24"/>
        </w:rPr>
        <w:t xml:space="preserve">inor or </w:t>
      </w:r>
      <w:r>
        <w:rPr>
          <w:sz w:val="24"/>
          <w:szCs w:val="24"/>
        </w:rPr>
        <w:t>m</w:t>
      </w:r>
      <w:r>
        <w:rPr>
          <w:color w:val="000000"/>
          <w:sz w:val="24"/>
          <w:szCs w:val="24"/>
        </w:rPr>
        <w:t xml:space="preserve">ajor for purposes of determining the time required for processing of the application; a minor </w:t>
      </w:r>
      <w:r>
        <w:rPr>
          <w:sz w:val="24"/>
          <w:szCs w:val="24"/>
        </w:rPr>
        <w:t>a</w:t>
      </w:r>
      <w:r>
        <w:rPr>
          <w:color w:val="000000"/>
          <w:sz w:val="24"/>
          <w:szCs w:val="24"/>
        </w:rPr>
        <w:t xml:space="preserve">pplication provides for a time limit of 90 days for the URRC to report to the responsible Minister while a major application provides a time limit of 150 days. In view of the potential impacts on costs for customers and reliability of service, the proposed term of 25 years for the </w:t>
      </w:r>
      <w:r w:rsidR="00071DC1">
        <w:rPr>
          <w:color w:val="000000"/>
          <w:sz w:val="24"/>
          <w:szCs w:val="24"/>
        </w:rPr>
        <w:t>PPAs</w:t>
      </w:r>
      <w:r>
        <w:rPr>
          <w:color w:val="000000"/>
          <w:sz w:val="24"/>
          <w:szCs w:val="24"/>
        </w:rPr>
        <w:t>, and the stated need to integrate renewable energy systems into QEC’s grid to help decrease Nunavut’s dependency on diesel fuel, reduce carbon emissions and promote energy self-reliance as described in the subject Application,</w:t>
      </w:r>
      <w:r>
        <w:rPr>
          <w:color w:val="000000"/>
        </w:rPr>
        <w:t xml:space="preserve"> </w:t>
      </w:r>
      <w:r>
        <w:rPr>
          <w:color w:val="000000"/>
          <w:sz w:val="24"/>
          <w:szCs w:val="24"/>
        </w:rPr>
        <w:t xml:space="preserve">and considering the need for </w:t>
      </w:r>
      <w:r w:rsidR="00FE7A8A">
        <w:rPr>
          <w:color w:val="000000"/>
          <w:sz w:val="24"/>
          <w:szCs w:val="24"/>
        </w:rPr>
        <w:t>IR</w:t>
      </w:r>
      <w:r>
        <w:rPr>
          <w:color w:val="000000"/>
          <w:sz w:val="24"/>
          <w:szCs w:val="24"/>
        </w:rPr>
        <w:t xml:space="preserve">s and responses, and public submissions, the URRC determined to treat the Application as a </w:t>
      </w:r>
      <w:r>
        <w:rPr>
          <w:sz w:val="24"/>
          <w:szCs w:val="24"/>
        </w:rPr>
        <w:t>m</w:t>
      </w:r>
      <w:r>
        <w:rPr>
          <w:color w:val="000000"/>
          <w:sz w:val="24"/>
          <w:szCs w:val="24"/>
        </w:rPr>
        <w:t xml:space="preserve">ajor </w:t>
      </w:r>
      <w:r>
        <w:rPr>
          <w:sz w:val="24"/>
          <w:szCs w:val="24"/>
        </w:rPr>
        <w:t>a</w:t>
      </w:r>
      <w:r>
        <w:rPr>
          <w:color w:val="000000"/>
          <w:sz w:val="24"/>
          <w:szCs w:val="24"/>
        </w:rPr>
        <w:t>pplication.</w:t>
      </w:r>
    </w:p>
    <w:p w14:paraId="6F009670" w14:textId="77777777" w:rsidR="003D56E8" w:rsidRDefault="003D56E8">
      <w:pPr>
        <w:pBdr>
          <w:top w:val="nil"/>
          <w:left w:val="nil"/>
          <w:bottom w:val="nil"/>
          <w:right w:val="nil"/>
          <w:between w:val="nil"/>
        </w:pBdr>
        <w:rPr>
          <w:color w:val="000000"/>
          <w:sz w:val="26"/>
          <w:szCs w:val="26"/>
        </w:rPr>
      </w:pPr>
    </w:p>
    <w:p w14:paraId="615A4532" w14:textId="77777777" w:rsidR="003D56E8" w:rsidRDefault="00AA767F" w:rsidP="00FD4CC3">
      <w:pPr>
        <w:pStyle w:val="URRCHeading2"/>
      </w:pPr>
      <w:bookmarkStart w:id="18" w:name="bookmark=id.17dp8vu" w:colFirst="0" w:colLast="0"/>
      <w:bookmarkStart w:id="19" w:name="_heading=h.3rdcrjn" w:colFirst="0" w:colLast="0"/>
      <w:bookmarkStart w:id="20" w:name="_Toc52808118"/>
      <w:bookmarkEnd w:id="18"/>
      <w:bookmarkEnd w:id="19"/>
      <w:r>
        <w:t>PUBLIC CONSULTATION PROCESS</w:t>
      </w:r>
      <w:bookmarkEnd w:id="20"/>
    </w:p>
    <w:p w14:paraId="5F1D7F68" w14:textId="77777777" w:rsidR="003D56E8" w:rsidRPr="00CD69B1" w:rsidRDefault="003D56E8">
      <w:pPr>
        <w:pBdr>
          <w:top w:val="nil"/>
          <w:left w:val="nil"/>
          <w:bottom w:val="nil"/>
          <w:right w:val="nil"/>
          <w:between w:val="nil"/>
        </w:pBdr>
        <w:rPr>
          <w:color w:val="000000"/>
          <w:sz w:val="24"/>
          <w:szCs w:val="24"/>
        </w:rPr>
      </w:pPr>
    </w:p>
    <w:p w14:paraId="09AD965F" w14:textId="1DB105D9" w:rsidR="003D56E8" w:rsidRDefault="00AA767F">
      <w:pPr>
        <w:numPr>
          <w:ilvl w:val="2"/>
          <w:numId w:val="4"/>
        </w:numPr>
        <w:pBdr>
          <w:top w:val="nil"/>
          <w:left w:val="nil"/>
          <w:bottom w:val="nil"/>
          <w:right w:val="nil"/>
          <w:between w:val="nil"/>
        </w:pBdr>
        <w:tabs>
          <w:tab w:val="left" w:pos="885"/>
        </w:tabs>
        <w:spacing w:before="9" w:line="360" w:lineRule="auto"/>
        <w:ind w:right="118"/>
        <w:jc w:val="both"/>
        <w:rPr>
          <w:color w:val="000000"/>
          <w:sz w:val="24"/>
          <w:szCs w:val="24"/>
        </w:rPr>
      </w:pPr>
      <w:r>
        <w:rPr>
          <w:color w:val="000000"/>
          <w:sz w:val="24"/>
          <w:szCs w:val="24"/>
        </w:rPr>
        <w:t xml:space="preserve">The URRC developed a process to inform its consideration of the Application, including an opportunity for three rounds of </w:t>
      </w:r>
      <w:r w:rsidR="00FE7A8A">
        <w:rPr>
          <w:color w:val="000000"/>
          <w:sz w:val="24"/>
          <w:szCs w:val="24"/>
        </w:rPr>
        <w:t xml:space="preserve">IRs </w:t>
      </w:r>
      <w:r>
        <w:rPr>
          <w:color w:val="000000"/>
          <w:sz w:val="24"/>
          <w:szCs w:val="24"/>
        </w:rPr>
        <w:t xml:space="preserve">to QEC (if needed), written public submissions (i.e. from customers and other interested parties), </w:t>
      </w:r>
      <w:r w:rsidR="00FE7A8A">
        <w:rPr>
          <w:color w:val="000000"/>
          <w:sz w:val="24"/>
          <w:szCs w:val="24"/>
        </w:rPr>
        <w:t>IR</w:t>
      </w:r>
      <w:r>
        <w:rPr>
          <w:color w:val="000000"/>
          <w:sz w:val="24"/>
          <w:szCs w:val="24"/>
        </w:rPr>
        <w:t xml:space="preserve">s regarding public submissions (if any), as well as an opportunity for QEC to respond to public submissions. The URRC provided notice of the Application through </w:t>
      </w:r>
      <w:r>
        <w:rPr>
          <w:sz w:val="24"/>
          <w:szCs w:val="24"/>
        </w:rPr>
        <w:t>email</w:t>
      </w:r>
      <w:r>
        <w:rPr>
          <w:color w:val="000000"/>
          <w:sz w:val="24"/>
          <w:szCs w:val="24"/>
        </w:rPr>
        <w:t xml:space="preserve">, as well as social media, through the government liaison officers (GLOs) in each community, and by letter to each Member of the Legislative Assembly of Nunavut (MLA), all </w:t>
      </w:r>
      <w:r>
        <w:rPr>
          <w:sz w:val="24"/>
          <w:szCs w:val="24"/>
        </w:rPr>
        <w:t>M</w:t>
      </w:r>
      <w:r>
        <w:rPr>
          <w:color w:val="000000"/>
          <w:sz w:val="24"/>
          <w:szCs w:val="24"/>
        </w:rPr>
        <w:t xml:space="preserve">ayors and </w:t>
      </w:r>
      <w:r>
        <w:rPr>
          <w:sz w:val="24"/>
          <w:szCs w:val="24"/>
        </w:rPr>
        <w:t>S</w:t>
      </w:r>
      <w:r>
        <w:rPr>
          <w:color w:val="000000"/>
          <w:sz w:val="24"/>
          <w:szCs w:val="24"/>
        </w:rPr>
        <w:t xml:space="preserve">enior </w:t>
      </w:r>
      <w:r>
        <w:rPr>
          <w:sz w:val="24"/>
          <w:szCs w:val="24"/>
        </w:rPr>
        <w:t>A</w:t>
      </w:r>
      <w:r>
        <w:rPr>
          <w:color w:val="000000"/>
          <w:sz w:val="24"/>
          <w:szCs w:val="24"/>
        </w:rPr>
        <w:t xml:space="preserve">dministration </w:t>
      </w:r>
      <w:r>
        <w:rPr>
          <w:sz w:val="24"/>
          <w:szCs w:val="24"/>
        </w:rPr>
        <w:t>O</w:t>
      </w:r>
      <w:r>
        <w:rPr>
          <w:color w:val="000000"/>
          <w:sz w:val="24"/>
          <w:szCs w:val="24"/>
        </w:rPr>
        <w:t xml:space="preserve">fficers (SAO) and </w:t>
      </w:r>
      <w:r>
        <w:rPr>
          <w:sz w:val="24"/>
          <w:szCs w:val="24"/>
        </w:rPr>
        <w:t>A</w:t>
      </w:r>
      <w:r>
        <w:rPr>
          <w:color w:val="000000"/>
          <w:sz w:val="24"/>
          <w:szCs w:val="24"/>
        </w:rPr>
        <w:t>ssistant SAOs across Nunavut.</w:t>
      </w:r>
    </w:p>
    <w:p w14:paraId="1DBDBD40" w14:textId="77777777" w:rsidR="00F512C9" w:rsidRDefault="00AA767F" w:rsidP="00B41274">
      <w:pPr>
        <w:keepNext/>
        <w:keepLines/>
        <w:widowControl/>
        <w:numPr>
          <w:ilvl w:val="2"/>
          <w:numId w:val="4"/>
        </w:numPr>
        <w:pBdr>
          <w:top w:val="nil"/>
          <w:left w:val="nil"/>
          <w:bottom w:val="nil"/>
          <w:right w:val="nil"/>
          <w:between w:val="nil"/>
        </w:pBdr>
        <w:tabs>
          <w:tab w:val="left" w:pos="885"/>
        </w:tabs>
        <w:spacing w:before="1" w:line="360" w:lineRule="auto"/>
        <w:ind w:right="116"/>
        <w:jc w:val="both"/>
        <w:rPr>
          <w:color w:val="000000"/>
          <w:sz w:val="24"/>
          <w:szCs w:val="24"/>
        </w:rPr>
      </w:pPr>
      <w:r>
        <w:rPr>
          <w:color w:val="000000"/>
          <w:sz w:val="24"/>
          <w:szCs w:val="24"/>
        </w:rPr>
        <w:t>The URRC provided an opportunity for the public to make written submissions respecting the Application by the deadline of July 15, 2020. Written submissions</w:t>
      </w:r>
      <w:r>
        <w:rPr>
          <w:sz w:val="24"/>
          <w:szCs w:val="24"/>
        </w:rPr>
        <w:t xml:space="preserve"> </w:t>
      </w:r>
      <w:r>
        <w:rPr>
          <w:color w:val="000000"/>
          <w:sz w:val="24"/>
          <w:szCs w:val="24"/>
        </w:rPr>
        <w:t xml:space="preserve">were received from the following interested parties by that date: </w:t>
      </w:r>
    </w:p>
    <w:p w14:paraId="33D10BF5" w14:textId="77777777" w:rsidR="00F512C9" w:rsidRDefault="00F512C9" w:rsidP="00B41274">
      <w:pPr>
        <w:pStyle w:val="ListParagraph"/>
        <w:keepNext/>
        <w:keepLines/>
        <w:widowControl/>
        <w:numPr>
          <w:ilvl w:val="0"/>
          <w:numId w:val="9"/>
        </w:numPr>
        <w:pBdr>
          <w:top w:val="nil"/>
          <w:left w:val="nil"/>
          <w:bottom w:val="nil"/>
          <w:right w:val="nil"/>
          <w:between w:val="nil"/>
        </w:pBdr>
        <w:tabs>
          <w:tab w:val="left" w:pos="885"/>
        </w:tabs>
        <w:spacing w:before="60" w:line="360" w:lineRule="auto"/>
        <w:ind w:left="1598" w:right="115"/>
        <w:rPr>
          <w:color w:val="000000"/>
          <w:sz w:val="24"/>
          <w:szCs w:val="24"/>
        </w:rPr>
      </w:pPr>
      <w:r w:rsidRPr="00F512C9">
        <w:rPr>
          <w:color w:val="000000"/>
          <w:sz w:val="24"/>
          <w:szCs w:val="24"/>
        </w:rPr>
        <w:t>Adam Arreak Lightstone – MLA Iqaluit-Manirajak</w:t>
      </w:r>
      <w:r>
        <w:rPr>
          <w:color w:val="000000"/>
          <w:sz w:val="24"/>
          <w:szCs w:val="24"/>
        </w:rPr>
        <w:t>;</w:t>
      </w:r>
    </w:p>
    <w:p w14:paraId="75C48786" w14:textId="77777777" w:rsidR="00F512C9" w:rsidRPr="00F512C9" w:rsidRDefault="00F512C9" w:rsidP="00382FA2">
      <w:pPr>
        <w:pStyle w:val="ListParagraph"/>
        <w:widowControl/>
        <w:numPr>
          <w:ilvl w:val="0"/>
          <w:numId w:val="9"/>
        </w:numPr>
        <w:pBdr>
          <w:top w:val="nil"/>
          <w:left w:val="nil"/>
          <w:bottom w:val="nil"/>
          <w:right w:val="nil"/>
          <w:between w:val="nil"/>
        </w:pBdr>
        <w:tabs>
          <w:tab w:val="left" w:pos="885"/>
        </w:tabs>
        <w:spacing w:before="60" w:line="360" w:lineRule="auto"/>
        <w:ind w:left="1598" w:right="115"/>
        <w:rPr>
          <w:color w:val="000000"/>
          <w:sz w:val="24"/>
          <w:szCs w:val="24"/>
        </w:rPr>
      </w:pPr>
      <w:r w:rsidRPr="00F512C9">
        <w:rPr>
          <w:color w:val="000000"/>
          <w:sz w:val="24"/>
          <w:szCs w:val="24"/>
        </w:rPr>
        <w:t>John Main – MLA Arviat North-Whale Cove;</w:t>
      </w:r>
    </w:p>
    <w:p w14:paraId="0F901180" w14:textId="12AD33F0" w:rsidR="00F512C9" w:rsidRDefault="00F512C9" w:rsidP="00382FA2">
      <w:pPr>
        <w:pStyle w:val="ListParagraph"/>
        <w:widowControl/>
        <w:numPr>
          <w:ilvl w:val="0"/>
          <w:numId w:val="9"/>
        </w:numPr>
        <w:pBdr>
          <w:top w:val="nil"/>
          <w:left w:val="nil"/>
          <w:bottom w:val="nil"/>
          <w:right w:val="nil"/>
          <w:between w:val="nil"/>
        </w:pBdr>
        <w:tabs>
          <w:tab w:val="left" w:pos="885"/>
        </w:tabs>
        <w:spacing w:before="60" w:line="360" w:lineRule="auto"/>
        <w:ind w:left="1598" w:right="115"/>
        <w:rPr>
          <w:color w:val="000000"/>
          <w:sz w:val="24"/>
          <w:szCs w:val="24"/>
        </w:rPr>
      </w:pPr>
      <w:r w:rsidRPr="00F512C9">
        <w:rPr>
          <w:color w:val="000000"/>
          <w:sz w:val="24"/>
          <w:szCs w:val="24"/>
        </w:rPr>
        <w:lastRenderedPageBreak/>
        <w:t>Department of Environment</w:t>
      </w:r>
      <w:r w:rsidRPr="00F512C9">
        <w:rPr>
          <w:sz w:val="24"/>
          <w:szCs w:val="24"/>
        </w:rPr>
        <w:t xml:space="preserve">’s </w:t>
      </w:r>
      <w:r w:rsidRPr="00F512C9">
        <w:rPr>
          <w:color w:val="000000"/>
          <w:sz w:val="24"/>
          <w:szCs w:val="24"/>
        </w:rPr>
        <w:t>Climate Change Secretariat (CCS) – with additional comments from Department of Community and Government Services (CGS) Technical Services Division, Department of Economic Development and Transportation (ED&amp;T);</w:t>
      </w:r>
    </w:p>
    <w:p w14:paraId="24FC0BAE" w14:textId="77777777" w:rsidR="00F512C9" w:rsidRDefault="00F512C9" w:rsidP="00B41274">
      <w:pPr>
        <w:pStyle w:val="ListParagraph"/>
        <w:numPr>
          <w:ilvl w:val="0"/>
          <w:numId w:val="9"/>
        </w:numPr>
        <w:pBdr>
          <w:top w:val="nil"/>
          <w:left w:val="nil"/>
          <w:bottom w:val="nil"/>
          <w:right w:val="nil"/>
          <w:between w:val="nil"/>
        </w:pBdr>
        <w:tabs>
          <w:tab w:val="left" w:pos="885"/>
        </w:tabs>
        <w:spacing w:before="60" w:line="360" w:lineRule="auto"/>
        <w:ind w:left="1598" w:right="115"/>
        <w:rPr>
          <w:color w:val="000000"/>
          <w:sz w:val="24"/>
          <w:szCs w:val="24"/>
        </w:rPr>
      </w:pPr>
      <w:r w:rsidRPr="00F512C9">
        <w:rPr>
          <w:color w:val="000000"/>
          <w:sz w:val="24"/>
          <w:szCs w:val="24"/>
        </w:rPr>
        <w:t xml:space="preserve">MCW Custom Energy Solutions Ltd.; </w:t>
      </w:r>
    </w:p>
    <w:p w14:paraId="7458E42E" w14:textId="77777777" w:rsidR="00F512C9" w:rsidRDefault="00AA767F" w:rsidP="00B41274">
      <w:pPr>
        <w:pStyle w:val="ListParagraph"/>
        <w:numPr>
          <w:ilvl w:val="0"/>
          <w:numId w:val="9"/>
        </w:numPr>
        <w:pBdr>
          <w:top w:val="nil"/>
          <w:left w:val="nil"/>
          <w:bottom w:val="nil"/>
          <w:right w:val="nil"/>
          <w:between w:val="nil"/>
        </w:pBdr>
        <w:tabs>
          <w:tab w:val="left" w:pos="885"/>
        </w:tabs>
        <w:spacing w:before="60" w:line="360" w:lineRule="auto"/>
        <w:ind w:left="1598" w:right="115"/>
        <w:rPr>
          <w:color w:val="000000"/>
          <w:sz w:val="24"/>
          <w:szCs w:val="24"/>
        </w:rPr>
      </w:pPr>
      <w:r w:rsidRPr="00F512C9">
        <w:rPr>
          <w:color w:val="000000"/>
          <w:sz w:val="24"/>
          <w:szCs w:val="24"/>
        </w:rPr>
        <w:t xml:space="preserve">Nihat Energy Ltd.; </w:t>
      </w:r>
    </w:p>
    <w:p w14:paraId="1136ADFA" w14:textId="77777777" w:rsidR="00F512C9" w:rsidRPr="00F512C9" w:rsidRDefault="00F512C9" w:rsidP="00B41274">
      <w:pPr>
        <w:pStyle w:val="ListParagraph"/>
        <w:numPr>
          <w:ilvl w:val="0"/>
          <w:numId w:val="9"/>
        </w:numPr>
        <w:pBdr>
          <w:top w:val="nil"/>
          <w:left w:val="nil"/>
          <w:bottom w:val="nil"/>
          <w:right w:val="nil"/>
          <w:between w:val="nil"/>
        </w:pBdr>
        <w:tabs>
          <w:tab w:val="left" w:pos="885"/>
        </w:tabs>
        <w:spacing w:before="60" w:line="360" w:lineRule="auto"/>
        <w:ind w:left="1598" w:right="115"/>
        <w:rPr>
          <w:color w:val="000000"/>
          <w:sz w:val="24"/>
          <w:szCs w:val="24"/>
        </w:rPr>
      </w:pPr>
      <w:r w:rsidRPr="00F512C9">
        <w:rPr>
          <w:color w:val="000000"/>
          <w:sz w:val="24"/>
          <w:szCs w:val="24"/>
        </w:rPr>
        <w:t>Nunavut Nukkiksautiit Corporation;</w:t>
      </w:r>
    </w:p>
    <w:p w14:paraId="79BD0DA2" w14:textId="77777777" w:rsidR="00F512C9" w:rsidRDefault="00AA767F" w:rsidP="00B41274">
      <w:pPr>
        <w:pStyle w:val="ListParagraph"/>
        <w:numPr>
          <w:ilvl w:val="0"/>
          <w:numId w:val="9"/>
        </w:numPr>
        <w:pBdr>
          <w:top w:val="nil"/>
          <w:left w:val="nil"/>
          <w:bottom w:val="nil"/>
          <w:right w:val="nil"/>
          <w:between w:val="nil"/>
        </w:pBdr>
        <w:tabs>
          <w:tab w:val="left" w:pos="885"/>
        </w:tabs>
        <w:spacing w:before="60" w:line="360" w:lineRule="auto"/>
        <w:ind w:left="1598" w:right="115"/>
        <w:rPr>
          <w:color w:val="000000"/>
          <w:sz w:val="24"/>
          <w:szCs w:val="24"/>
        </w:rPr>
      </w:pPr>
      <w:r w:rsidRPr="00F512C9">
        <w:rPr>
          <w:color w:val="000000"/>
          <w:sz w:val="24"/>
          <w:szCs w:val="24"/>
        </w:rPr>
        <w:t xml:space="preserve">Pembina Institute; </w:t>
      </w:r>
    </w:p>
    <w:p w14:paraId="64C0FA6F" w14:textId="77777777" w:rsidR="00F512C9" w:rsidRDefault="00AA767F" w:rsidP="00B41274">
      <w:pPr>
        <w:pStyle w:val="ListParagraph"/>
        <w:numPr>
          <w:ilvl w:val="0"/>
          <w:numId w:val="9"/>
        </w:numPr>
        <w:pBdr>
          <w:top w:val="nil"/>
          <w:left w:val="nil"/>
          <w:bottom w:val="nil"/>
          <w:right w:val="nil"/>
          <w:between w:val="nil"/>
        </w:pBdr>
        <w:tabs>
          <w:tab w:val="left" w:pos="885"/>
        </w:tabs>
        <w:spacing w:before="60" w:line="360" w:lineRule="auto"/>
        <w:ind w:left="1598" w:right="115"/>
        <w:rPr>
          <w:color w:val="000000"/>
          <w:sz w:val="24"/>
          <w:szCs w:val="24"/>
        </w:rPr>
      </w:pPr>
      <w:r w:rsidRPr="00F512C9">
        <w:rPr>
          <w:color w:val="000000"/>
          <w:sz w:val="24"/>
          <w:szCs w:val="24"/>
        </w:rPr>
        <w:t xml:space="preserve">Qikiqtaaluk Business Development Corporation; </w:t>
      </w:r>
    </w:p>
    <w:p w14:paraId="5A545475" w14:textId="77777777" w:rsidR="003D56E8" w:rsidRPr="00F512C9" w:rsidRDefault="00F512C9" w:rsidP="00C308E1">
      <w:pPr>
        <w:pStyle w:val="ListParagraph"/>
        <w:numPr>
          <w:ilvl w:val="0"/>
          <w:numId w:val="9"/>
        </w:numPr>
        <w:pBdr>
          <w:top w:val="nil"/>
          <w:left w:val="nil"/>
          <w:bottom w:val="nil"/>
          <w:right w:val="nil"/>
          <w:between w:val="nil"/>
        </w:pBdr>
        <w:tabs>
          <w:tab w:val="left" w:pos="885"/>
        </w:tabs>
        <w:spacing w:before="60"/>
        <w:ind w:left="1598" w:right="115"/>
        <w:rPr>
          <w:color w:val="000000"/>
          <w:sz w:val="24"/>
          <w:szCs w:val="24"/>
        </w:rPr>
      </w:pPr>
      <w:r w:rsidRPr="00F512C9">
        <w:rPr>
          <w:color w:val="000000"/>
          <w:sz w:val="24"/>
          <w:szCs w:val="24"/>
        </w:rPr>
        <w:t>WWF-Canada</w:t>
      </w:r>
      <w:r w:rsidR="00AA767F" w:rsidRPr="00F512C9">
        <w:rPr>
          <w:color w:val="000000"/>
          <w:sz w:val="24"/>
          <w:szCs w:val="24"/>
        </w:rPr>
        <w:t xml:space="preserve">. </w:t>
      </w:r>
    </w:p>
    <w:p w14:paraId="7038E810" w14:textId="77777777" w:rsidR="003D56E8" w:rsidRDefault="003D56E8">
      <w:pPr>
        <w:pBdr>
          <w:top w:val="nil"/>
          <w:left w:val="nil"/>
          <w:bottom w:val="nil"/>
          <w:right w:val="nil"/>
          <w:between w:val="nil"/>
        </w:pBdr>
        <w:rPr>
          <w:color w:val="000000"/>
          <w:sz w:val="24"/>
          <w:szCs w:val="24"/>
        </w:rPr>
      </w:pPr>
    </w:p>
    <w:p w14:paraId="522BACAA" w14:textId="2B3A2256" w:rsidR="003D56E8" w:rsidRDefault="00AA767F">
      <w:pPr>
        <w:numPr>
          <w:ilvl w:val="2"/>
          <w:numId w:val="4"/>
        </w:numPr>
        <w:pBdr>
          <w:top w:val="nil"/>
          <w:left w:val="nil"/>
          <w:bottom w:val="nil"/>
          <w:right w:val="nil"/>
          <w:between w:val="nil"/>
        </w:pBdr>
        <w:tabs>
          <w:tab w:val="left" w:pos="885"/>
        </w:tabs>
        <w:spacing w:line="360" w:lineRule="auto"/>
        <w:ind w:right="120"/>
        <w:jc w:val="both"/>
        <w:rPr>
          <w:color w:val="000000"/>
          <w:sz w:val="24"/>
          <w:szCs w:val="24"/>
        </w:rPr>
      </w:pPr>
      <w:r>
        <w:rPr>
          <w:color w:val="000000"/>
          <w:sz w:val="24"/>
          <w:szCs w:val="24"/>
        </w:rPr>
        <w:t xml:space="preserve">The URRC had no questions for the interested parties that made public submissions, and QEC did not respond directly to the public submissions. However the URRC included general questions to QEC in the third round of </w:t>
      </w:r>
      <w:r w:rsidR="00FE7A8A">
        <w:rPr>
          <w:color w:val="000000"/>
          <w:sz w:val="24"/>
          <w:szCs w:val="24"/>
        </w:rPr>
        <w:t>IR</w:t>
      </w:r>
      <w:r>
        <w:rPr>
          <w:color w:val="000000"/>
          <w:sz w:val="24"/>
          <w:szCs w:val="24"/>
        </w:rPr>
        <w:t>s about aspects of the public submissions. QEC provided responses to those questions. Th</w:t>
      </w:r>
      <w:r>
        <w:rPr>
          <w:sz w:val="24"/>
          <w:szCs w:val="24"/>
        </w:rPr>
        <w:t>e</w:t>
      </w:r>
      <w:r>
        <w:rPr>
          <w:color w:val="000000"/>
          <w:sz w:val="24"/>
          <w:szCs w:val="24"/>
        </w:rPr>
        <w:t xml:space="preserve"> responses received as a result of the public subm</w:t>
      </w:r>
      <w:r>
        <w:rPr>
          <w:sz w:val="24"/>
          <w:szCs w:val="24"/>
        </w:rPr>
        <w:t xml:space="preserve">issions </w:t>
      </w:r>
      <w:r>
        <w:rPr>
          <w:color w:val="000000"/>
          <w:sz w:val="24"/>
          <w:szCs w:val="24"/>
        </w:rPr>
        <w:t xml:space="preserve">were of assistance to the URRC. </w:t>
      </w:r>
    </w:p>
    <w:p w14:paraId="41A48FDA" w14:textId="7044022C" w:rsidR="003D56E8" w:rsidRDefault="00AA767F">
      <w:pPr>
        <w:numPr>
          <w:ilvl w:val="2"/>
          <w:numId w:val="4"/>
        </w:numPr>
        <w:pBdr>
          <w:top w:val="nil"/>
          <w:left w:val="nil"/>
          <w:bottom w:val="nil"/>
          <w:right w:val="nil"/>
          <w:between w:val="nil"/>
        </w:pBdr>
        <w:tabs>
          <w:tab w:val="left" w:pos="885"/>
        </w:tabs>
        <w:spacing w:line="360" w:lineRule="auto"/>
        <w:ind w:right="120"/>
        <w:jc w:val="both"/>
        <w:rPr>
          <w:color w:val="000000"/>
          <w:sz w:val="24"/>
          <w:szCs w:val="24"/>
        </w:rPr>
      </w:pPr>
      <w:r>
        <w:rPr>
          <w:color w:val="000000"/>
          <w:sz w:val="24"/>
          <w:szCs w:val="24"/>
        </w:rPr>
        <w:t xml:space="preserve">QEC responded to three rounds of </w:t>
      </w:r>
      <w:r w:rsidR="00FE7A8A">
        <w:rPr>
          <w:color w:val="000000"/>
          <w:sz w:val="24"/>
          <w:szCs w:val="24"/>
        </w:rPr>
        <w:t>IR</w:t>
      </w:r>
      <w:r>
        <w:rPr>
          <w:color w:val="000000"/>
          <w:sz w:val="24"/>
          <w:szCs w:val="24"/>
        </w:rPr>
        <w:t>s from the URRC with the final responses received on September 11, 2020.</w:t>
      </w:r>
    </w:p>
    <w:p w14:paraId="612F87EB" w14:textId="77777777" w:rsidR="003D56E8" w:rsidRDefault="003D56E8">
      <w:pPr>
        <w:spacing w:line="360" w:lineRule="auto"/>
        <w:jc w:val="both"/>
        <w:rPr>
          <w:sz w:val="24"/>
          <w:szCs w:val="24"/>
        </w:rPr>
      </w:pPr>
    </w:p>
    <w:p w14:paraId="56756FC3" w14:textId="77777777" w:rsidR="00BF66CE" w:rsidRDefault="00BF66CE">
      <w:pPr>
        <w:spacing w:line="360" w:lineRule="auto"/>
        <w:jc w:val="both"/>
        <w:rPr>
          <w:sz w:val="24"/>
          <w:szCs w:val="24"/>
        </w:rPr>
        <w:sectPr w:rsidR="00BF66CE">
          <w:pgSz w:w="12240" w:h="15840"/>
          <w:pgMar w:top="1411" w:right="1310" w:bottom="1138" w:left="1310" w:header="720" w:footer="720" w:gutter="0"/>
          <w:cols w:space="720" w:equalWidth="0">
            <w:col w:w="9360"/>
          </w:cols>
        </w:sectPr>
      </w:pPr>
    </w:p>
    <w:p w14:paraId="777E2785" w14:textId="7AF2FA33" w:rsidR="003D56E8" w:rsidRDefault="003D56E8" w:rsidP="00BF66CE">
      <w:pPr>
        <w:jc w:val="both"/>
        <w:rPr>
          <w:sz w:val="24"/>
          <w:szCs w:val="24"/>
        </w:rPr>
      </w:pPr>
    </w:p>
    <w:p w14:paraId="3DBF21C3" w14:textId="77777777" w:rsidR="003D56E8" w:rsidRDefault="00AA767F" w:rsidP="00FD4CC3">
      <w:pPr>
        <w:pStyle w:val="URRCHeading1"/>
      </w:pPr>
      <w:bookmarkStart w:id="21" w:name="_Toc52808119"/>
      <w:r>
        <w:t>PUBLIC SUBMISSIONS</w:t>
      </w:r>
      <w:bookmarkEnd w:id="21"/>
    </w:p>
    <w:p w14:paraId="687F06D6" w14:textId="77777777" w:rsidR="003D56E8" w:rsidRDefault="003D56E8" w:rsidP="005F58E2">
      <w:pPr>
        <w:jc w:val="both"/>
        <w:rPr>
          <w:sz w:val="24"/>
          <w:szCs w:val="24"/>
        </w:rPr>
      </w:pPr>
    </w:p>
    <w:p w14:paraId="6C362724" w14:textId="77777777" w:rsidR="003D56E8" w:rsidRDefault="00AA767F">
      <w:pPr>
        <w:numPr>
          <w:ilvl w:val="2"/>
          <w:numId w:val="4"/>
        </w:numPr>
        <w:pBdr>
          <w:top w:val="nil"/>
          <w:left w:val="nil"/>
          <w:bottom w:val="nil"/>
          <w:right w:val="nil"/>
          <w:between w:val="nil"/>
        </w:pBdr>
        <w:tabs>
          <w:tab w:val="left" w:pos="885"/>
        </w:tabs>
        <w:spacing w:line="360" w:lineRule="auto"/>
        <w:ind w:right="120"/>
        <w:jc w:val="both"/>
        <w:rPr>
          <w:color w:val="000000"/>
          <w:sz w:val="24"/>
          <w:szCs w:val="24"/>
        </w:rPr>
      </w:pPr>
      <w:r>
        <w:rPr>
          <w:color w:val="000000"/>
          <w:sz w:val="24"/>
          <w:szCs w:val="24"/>
        </w:rPr>
        <w:t xml:space="preserve">The URRC received submissions from members of the Nunavut government, Nunavut government departments, potential CIPP </w:t>
      </w:r>
      <w:r>
        <w:rPr>
          <w:sz w:val="24"/>
          <w:szCs w:val="24"/>
        </w:rPr>
        <w:t>proponents</w:t>
      </w:r>
      <w:r>
        <w:rPr>
          <w:color w:val="000000"/>
          <w:sz w:val="24"/>
          <w:szCs w:val="24"/>
        </w:rPr>
        <w:t xml:space="preserve">, and non-governmental organizations. </w:t>
      </w:r>
    </w:p>
    <w:p w14:paraId="74888364" w14:textId="77777777" w:rsidR="003D56E8" w:rsidRDefault="00AA767F">
      <w:pPr>
        <w:numPr>
          <w:ilvl w:val="2"/>
          <w:numId w:val="4"/>
        </w:numPr>
        <w:pBdr>
          <w:top w:val="nil"/>
          <w:left w:val="nil"/>
          <w:bottom w:val="nil"/>
          <w:right w:val="nil"/>
          <w:between w:val="nil"/>
        </w:pBdr>
        <w:tabs>
          <w:tab w:val="left" w:pos="885"/>
        </w:tabs>
        <w:spacing w:line="360" w:lineRule="auto"/>
        <w:ind w:right="120"/>
        <w:jc w:val="both"/>
        <w:rPr>
          <w:color w:val="000000"/>
          <w:sz w:val="24"/>
          <w:szCs w:val="24"/>
        </w:rPr>
      </w:pPr>
      <w:r>
        <w:rPr>
          <w:color w:val="000000"/>
          <w:sz w:val="24"/>
          <w:szCs w:val="24"/>
        </w:rPr>
        <w:t>The URRC does not intend to repeat all of the diverse comments or feedback provided. However, the URRC has summarized some of the feedback in the list below, some of which were provided by more than one interested party. In no particular order, interested parties submitted the following comments and feedback:</w:t>
      </w:r>
    </w:p>
    <w:p w14:paraId="34258226" w14:textId="77777777" w:rsidR="003D56E8" w:rsidRDefault="00AA767F" w:rsidP="00B41274">
      <w:pPr>
        <w:numPr>
          <w:ilvl w:val="3"/>
          <w:numId w:val="4"/>
        </w:numPr>
        <w:pBdr>
          <w:top w:val="nil"/>
          <w:left w:val="nil"/>
          <w:bottom w:val="nil"/>
          <w:right w:val="nil"/>
          <w:between w:val="nil"/>
        </w:pBdr>
        <w:tabs>
          <w:tab w:val="left" w:pos="885"/>
        </w:tabs>
        <w:spacing w:before="60" w:line="360" w:lineRule="auto"/>
        <w:ind w:left="1541" w:right="115" w:hanging="274"/>
        <w:jc w:val="both"/>
        <w:rPr>
          <w:color w:val="000000"/>
          <w:sz w:val="24"/>
          <w:szCs w:val="24"/>
        </w:rPr>
      </w:pPr>
      <w:r>
        <w:rPr>
          <w:color w:val="000000"/>
          <w:sz w:val="24"/>
          <w:szCs w:val="24"/>
        </w:rPr>
        <w:t>One CIPP purchase rate for all communities is not attractive, and does not reflect the differences in construction and operational costs across Nunavut.</w:t>
      </w:r>
    </w:p>
    <w:p w14:paraId="1DFEB829" w14:textId="77777777" w:rsidR="003D56E8" w:rsidRDefault="00AA767F" w:rsidP="005D40A6">
      <w:pPr>
        <w:numPr>
          <w:ilvl w:val="3"/>
          <w:numId w:val="4"/>
        </w:numPr>
        <w:pBdr>
          <w:top w:val="nil"/>
          <w:left w:val="nil"/>
          <w:bottom w:val="nil"/>
          <w:right w:val="nil"/>
          <w:between w:val="nil"/>
        </w:pBdr>
        <w:tabs>
          <w:tab w:val="left" w:pos="885"/>
        </w:tabs>
        <w:spacing w:before="60" w:line="360" w:lineRule="auto"/>
        <w:ind w:left="1541" w:right="80" w:hanging="274"/>
        <w:jc w:val="both"/>
        <w:rPr>
          <w:color w:val="000000"/>
          <w:sz w:val="24"/>
          <w:szCs w:val="24"/>
        </w:rPr>
      </w:pPr>
      <w:r>
        <w:rPr>
          <w:color w:val="000000"/>
          <w:sz w:val="24"/>
          <w:szCs w:val="24"/>
        </w:rPr>
        <w:t xml:space="preserve">The proposed CIPP purchase price is not attractive enough to </w:t>
      </w:r>
      <w:r>
        <w:rPr>
          <w:sz w:val="24"/>
          <w:szCs w:val="24"/>
        </w:rPr>
        <w:t>incent</w:t>
      </w:r>
      <w:r>
        <w:rPr>
          <w:color w:val="000000"/>
          <w:sz w:val="24"/>
          <w:szCs w:val="24"/>
        </w:rPr>
        <w:t xml:space="preserve"> the development of new renewable energy systems in Nunavut. The expected payback for a renewable project under the proposed CIPP program could range from 20 years to 55 years or greater than 65 years. It was suggested that a payback period in the range of 20 to 30 years is closer to the expected life of the equipment.</w:t>
      </w:r>
    </w:p>
    <w:p w14:paraId="4FEBB3E4" w14:textId="77777777" w:rsidR="003D56E8" w:rsidRDefault="00AA767F" w:rsidP="00B41274">
      <w:pPr>
        <w:numPr>
          <w:ilvl w:val="3"/>
          <w:numId w:val="4"/>
        </w:numPr>
        <w:pBdr>
          <w:top w:val="nil"/>
          <w:left w:val="nil"/>
          <w:bottom w:val="nil"/>
          <w:right w:val="nil"/>
          <w:between w:val="nil"/>
        </w:pBdr>
        <w:tabs>
          <w:tab w:val="left" w:pos="885"/>
        </w:tabs>
        <w:spacing w:before="60" w:line="360" w:lineRule="auto"/>
        <w:ind w:left="1541" w:right="115" w:hanging="274"/>
        <w:jc w:val="both"/>
        <w:rPr>
          <w:color w:val="000000"/>
          <w:sz w:val="24"/>
          <w:szCs w:val="24"/>
        </w:rPr>
      </w:pPr>
      <w:r>
        <w:rPr>
          <w:color w:val="000000"/>
          <w:sz w:val="24"/>
          <w:szCs w:val="24"/>
        </w:rPr>
        <w:t>Under the proposed CIPP program, only projects with significant outside grant or incentive funding can be financially viable.</w:t>
      </w:r>
    </w:p>
    <w:p w14:paraId="2061181C" w14:textId="77777777" w:rsidR="003D56E8" w:rsidRDefault="00AA767F" w:rsidP="00B41274">
      <w:pPr>
        <w:numPr>
          <w:ilvl w:val="3"/>
          <w:numId w:val="4"/>
        </w:numPr>
        <w:pBdr>
          <w:top w:val="nil"/>
          <w:left w:val="nil"/>
          <w:bottom w:val="nil"/>
          <w:right w:val="nil"/>
          <w:between w:val="nil"/>
        </w:pBdr>
        <w:tabs>
          <w:tab w:val="left" w:pos="885"/>
        </w:tabs>
        <w:spacing w:before="60" w:line="360" w:lineRule="auto"/>
        <w:ind w:left="1541" w:right="115" w:hanging="274"/>
        <w:jc w:val="both"/>
        <w:rPr>
          <w:color w:val="000000"/>
          <w:sz w:val="24"/>
          <w:szCs w:val="24"/>
        </w:rPr>
      </w:pPr>
      <w:r>
        <w:rPr>
          <w:color w:val="000000"/>
          <w:sz w:val="24"/>
          <w:szCs w:val="24"/>
        </w:rPr>
        <w:t>The limit on CIPP purchase rate increases of 20% is not attractive.</w:t>
      </w:r>
    </w:p>
    <w:p w14:paraId="47E69B53" w14:textId="77777777" w:rsidR="003D56E8" w:rsidRDefault="00AA767F" w:rsidP="00B41274">
      <w:pPr>
        <w:numPr>
          <w:ilvl w:val="3"/>
          <w:numId w:val="4"/>
        </w:numPr>
        <w:pBdr>
          <w:top w:val="nil"/>
          <w:left w:val="nil"/>
          <w:bottom w:val="nil"/>
          <w:right w:val="nil"/>
          <w:between w:val="nil"/>
        </w:pBdr>
        <w:tabs>
          <w:tab w:val="left" w:pos="885"/>
        </w:tabs>
        <w:spacing w:before="60" w:line="360" w:lineRule="auto"/>
        <w:ind w:left="1541" w:right="115" w:hanging="274"/>
        <w:jc w:val="both"/>
        <w:rPr>
          <w:color w:val="000000"/>
          <w:sz w:val="24"/>
          <w:szCs w:val="24"/>
        </w:rPr>
      </w:pPr>
      <w:r>
        <w:rPr>
          <w:color w:val="000000"/>
          <w:sz w:val="24"/>
          <w:szCs w:val="24"/>
        </w:rPr>
        <w:t>There is no direct greenhouse gas (GHG) reduction attributable to individual customers.</w:t>
      </w:r>
    </w:p>
    <w:p w14:paraId="74E19EFC" w14:textId="77777777" w:rsidR="003D56E8" w:rsidRDefault="00AA767F" w:rsidP="00B41274">
      <w:pPr>
        <w:numPr>
          <w:ilvl w:val="3"/>
          <w:numId w:val="4"/>
        </w:numPr>
        <w:pBdr>
          <w:top w:val="nil"/>
          <w:left w:val="nil"/>
          <w:bottom w:val="nil"/>
          <w:right w:val="nil"/>
          <w:between w:val="nil"/>
        </w:pBdr>
        <w:tabs>
          <w:tab w:val="left" w:pos="885"/>
        </w:tabs>
        <w:spacing w:before="60" w:line="360" w:lineRule="auto"/>
        <w:ind w:left="1541" w:right="115" w:hanging="274"/>
        <w:jc w:val="both"/>
        <w:rPr>
          <w:color w:val="000000"/>
          <w:sz w:val="24"/>
          <w:szCs w:val="24"/>
        </w:rPr>
      </w:pPr>
      <w:r>
        <w:rPr>
          <w:color w:val="000000"/>
          <w:sz w:val="24"/>
          <w:szCs w:val="24"/>
        </w:rPr>
        <w:t>The CIPP purchase price should include consideration of the cost of installation, operation, and maintenance of renewable generation, rather than the avoided cost of diesel.</w:t>
      </w:r>
    </w:p>
    <w:p w14:paraId="0E9D0F9A" w14:textId="3F536E61" w:rsidR="003D56E8" w:rsidRDefault="00AA767F" w:rsidP="00B41274">
      <w:pPr>
        <w:numPr>
          <w:ilvl w:val="3"/>
          <w:numId w:val="4"/>
        </w:numPr>
        <w:pBdr>
          <w:top w:val="nil"/>
          <w:left w:val="nil"/>
          <w:bottom w:val="nil"/>
          <w:right w:val="nil"/>
          <w:between w:val="nil"/>
        </w:pBdr>
        <w:tabs>
          <w:tab w:val="left" w:pos="885"/>
        </w:tabs>
        <w:spacing w:before="60" w:line="360" w:lineRule="auto"/>
        <w:ind w:left="1541" w:right="115" w:hanging="274"/>
        <w:jc w:val="both"/>
        <w:rPr>
          <w:color w:val="000000"/>
          <w:sz w:val="24"/>
          <w:szCs w:val="24"/>
        </w:rPr>
      </w:pPr>
      <w:r>
        <w:rPr>
          <w:color w:val="000000"/>
          <w:sz w:val="24"/>
          <w:szCs w:val="24"/>
        </w:rPr>
        <w:t xml:space="preserve">The CIPP purchase price adjustment mechanism is potentially risky for Nunavut and is not clear. It should also be more responsive (e.g. annual adjustments) instead of the 4 (or more) year </w:t>
      </w:r>
      <w:r w:rsidR="002F4ECC">
        <w:rPr>
          <w:color w:val="000000"/>
          <w:sz w:val="24"/>
          <w:szCs w:val="24"/>
        </w:rPr>
        <w:t xml:space="preserve">GRA </w:t>
      </w:r>
      <w:r>
        <w:rPr>
          <w:color w:val="000000"/>
          <w:sz w:val="24"/>
          <w:szCs w:val="24"/>
        </w:rPr>
        <w:t xml:space="preserve">adjustment period proposed in the CIPP </w:t>
      </w:r>
      <w:r w:rsidR="00AA7180">
        <w:rPr>
          <w:color w:val="000000"/>
          <w:sz w:val="24"/>
          <w:szCs w:val="24"/>
        </w:rPr>
        <w:t>A</w:t>
      </w:r>
      <w:r>
        <w:rPr>
          <w:color w:val="000000"/>
          <w:sz w:val="24"/>
          <w:szCs w:val="24"/>
        </w:rPr>
        <w:t>pplication.</w:t>
      </w:r>
    </w:p>
    <w:p w14:paraId="3A6C49B5" w14:textId="77777777" w:rsidR="003D56E8" w:rsidRDefault="00AA767F" w:rsidP="00F82D91">
      <w:pPr>
        <w:widowControl/>
        <w:numPr>
          <w:ilvl w:val="3"/>
          <w:numId w:val="4"/>
        </w:numPr>
        <w:pBdr>
          <w:top w:val="nil"/>
          <w:left w:val="nil"/>
          <w:bottom w:val="nil"/>
          <w:right w:val="nil"/>
          <w:between w:val="nil"/>
        </w:pBdr>
        <w:tabs>
          <w:tab w:val="left" w:pos="885"/>
        </w:tabs>
        <w:spacing w:before="60" w:line="360" w:lineRule="auto"/>
        <w:ind w:left="1541" w:right="115" w:hanging="274"/>
        <w:jc w:val="both"/>
        <w:rPr>
          <w:color w:val="000000"/>
          <w:sz w:val="24"/>
          <w:szCs w:val="24"/>
        </w:rPr>
      </w:pPr>
      <w:r>
        <w:rPr>
          <w:color w:val="000000"/>
          <w:sz w:val="24"/>
          <w:szCs w:val="24"/>
        </w:rPr>
        <w:lastRenderedPageBreak/>
        <w:t>Larger projects are more economically viable than smaller ones and should be considered for development by QEC.</w:t>
      </w:r>
    </w:p>
    <w:p w14:paraId="67547886" w14:textId="76887061" w:rsidR="003D56E8" w:rsidRDefault="002F4ECC" w:rsidP="00F82D91">
      <w:pPr>
        <w:numPr>
          <w:ilvl w:val="3"/>
          <w:numId w:val="4"/>
        </w:numPr>
        <w:pBdr>
          <w:top w:val="nil"/>
          <w:left w:val="nil"/>
          <w:bottom w:val="nil"/>
          <w:right w:val="nil"/>
          <w:between w:val="nil"/>
        </w:pBdr>
        <w:tabs>
          <w:tab w:val="left" w:pos="885"/>
        </w:tabs>
        <w:spacing w:before="60" w:line="360" w:lineRule="auto"/>
        <w:ind w:left="1541" w:right="115" w:hanging="274"/>
        <w:jc w:val="both"/>
        <w:rPr>
          <w:color w:val="000000"/>
          <w:sz w:val="24"/>
          <w:szCs w:val="24"/>
        </w:rPr>
      </w:pPr>
      <w:r>
        <w:rPr>
          <w:color w:val="000000"/>
          <w:sz w:val="24"/>
          <w:szCs w:val="24"/>
        </w:rPr>
        <w:t>Direct</w:t>
      </w:r>
      <w:r w:rsidR="00AA767F">
        <w:rPr>
          <w:color w:val="000000"/>
          <w:sz w:val="24"/>
          <w:szCs w:val="24"/>
        </w:rPr>
        <w:t xml:space="preserve"> comparison of the programs in other jurisdictions in Canada may </w:t>
      </w:r>
      <w:r>
        <w:rPr>
          <w:color w:val="000000"/>
          <w:sz w:val="24"/>
          <w:szCs w:val="24"/>
        </w:rPr>
        <w:t xml:space="preserve">not </w:t>
      </w:r>
      <w:r w:rsidR="00AA767F">
        <w:rPr>
          <w:color w:val="000000"/>
          <w:sz w:val="24"/>
          <w:szCs w:val="24"/>
        </w:rPr>
        <w:t xml:space="preserve">be applicable in Nunavut due to the differences in QEC’s service territory (e.g. grid connection, road connectivity, availability of other sources of power, etc.). </w:t>
      </w:r>
    </w:p>
    <w:p w14:paraId="2EA0895E" w14:textId="77777777" w:rsidR="003D56E8" w:rsidRDefault="00AA767F" w:rsidP="00F82D91">
      <w:pPr>
        <w:numPr>
          <w:ilvl w:val="3"/>
          <w:numId w:val="4"/>
        </w:numPr>
        <w:pBdr>
          <w:top w:val="nil"/>
          <w:left w:val="nil"/>
          <w:bottom w:val="nil"/>
          <w:right w:val="nil"/>
          <w:between w:val="nil"/>
        </w:pBdr>
        <w:tabs>
          <w:tab w:val="left" w:pos="885"/>
        </w:tabs>
        <w:spacing w:before="60" w:line="360" w:lineRule="auto"/>
        <w:ind w:left="1541" w:right="115" w:hanging="274"/>
        <w:jc w:val="both"/>
        <w:rPr>
          <w:color w:val="000000"/>
          <w:sz w:val="24"/>
          <w:szCs w:val="24"/>
        </w:rPr>
      </w:pPr>
      <w:r>
        <w:rPr>
          <w:color w:val="000000"/>
          <w:sz w:val="24"/>
          <w:szCs w:val="24"/>
        </w:rPr>
        <w:t>The PPA term should reflect the expected life of the equipment being installed.</w:t>
      </w:r>
    </w:p>
    <w:p w14:paraId="5FC2A912" w14:textId="77777777" w:rsidR="003D56E8" w:rsidRDefault="00AA767F" w:rsidP="00F82D91">
      <w:pPr>
        <w:numPr>
          <w:ilvl w:val="3"/>
          <w:numId w:val="4"/>
        </w:numPr>
        <w:pBdr>
          <w:top w:val="nil"/>
          <w:left w:val="nil"/>
          <w:bottom w:val="nil"/>
          <w:right w:val="nil"/>
          <w:between w:val="nil"/>
        </w:pBdr>
        <w:tabs>
          <w:tab w:val="left" w:pos="885"/>
        </w:tabs>
        <w:spacing w:before="60" w:line="360" w:lineRule="auto"/>
        <w:ind w:left="1541" w:right="115" w:hanging="274"/>
        <w:jc w:val="both"/>
        <w:rPr>
          <w:color w:val="000000"/>
          <w:sz w:val="24"/>
          <w:szCs w:val="24"/>
        </w:rPr>
      </w:pPr>
      <w:r>
        <w:rPr>
          <w:color w:val="000000"/>
          <w:sz w:val="24"/>
          <w:szCs w:val="24"/>
        </w:rPr>
        <w:t>A guaranteed minimum price in the PPA is essential, regardless of QEC’s actual cost of diesel.</w:t>
      </w:r>
    </w:p>
    <w:p w14:paraId="49DD1425" w14:textId="77777777" w:rsidR="003D56E8" w:rsidRDefault="00AA767F" w:rsidP="00F82D91">
      <w:pPr>
        <w:numPr>
          <w:ilvl w:val="3"/>
          <w:numId w:val="4"/>
        </w:numPr>
        <w:pBdr>
          <w:top w:val="nil"/>
          <w:left w:val="nil"/>
          <w:bottom w:val="nil"/>
          <w:right w:val="nil"/>
          <w:between w:val="nil"/>
        </w:pBdr>
        <w:tabs>
          <w:tab w:val="left" w:pos="885"/>
        </w:tabs>
        <w:spacing w:before="60" w:line="360" w:lineRule="auto"/>
        <w:ind w:left="1541" w:right="115" w:hanging="274"/>
        <w:jc w:val="both"/>
        <w:rPr>
          <w:color w:val="000000"/>
          <w:sz w:val="24"/>
          <w:szCs w:val="24"/>
        </w:rPr>
      </w:pPr>
      <w:r>
        <w:rPr>
          <w:color w:val="000000"/>
          <w:sz w:val="24"/>
          <w:szCs w:val="24"/>
        </w:rPr>
        <w:t>The guaranteed minimum price should not expose QEC to over paying for CIPP supply.</w:t>
      </w:r>
    </w:p>
    <w:p w14:paraId="415AABE7" w14:textId="58FA6458" w:rsidR="003D56E8" w:rsidRDefault="00AA767F" w:rsidP="00F82D91">
      <w:pPr>
        <w:numPr>
          <w:ilvl w:val="3"/>
          <w:numId w:val="4"/>
        </w:numPr>
        <w:pBdr>
          <w:top w:val="nil"/>
          <w:left w:val="nil"/>
          <w:bottom w:val="nil"/>
          <w:right w:val="nil"/>
          <w:between w:val="nil"/>
        </w:pBdr>
        <w:tabs>
          <w:tab w:val="left" w:pos="885"/>
        </w:tabs>
        <w:spacing w:before="60" w:line="360" w:lineRule="auto"/>
        <w:ind w:left="1541" w:right="115" w:hanging="274"/>
        <w:jc w:val="both"/>
        <w:rPr>
          <w:color w:val="000000"/>
          <w:sz w:val="24"/>
          <w:szCs w:val="24"/>
        </w:rPr>
      </w:pPr>
      <w:r>
        <w:rPr>
          <w:color w:val="000000"/>
          <w:sz w:val="24"/>
          <w:szCs w:val="24"/>
        </w:rPr>
        <w:t xml:space="preserve">The CIPP purchase price should extend beyond the avoided cost of diesel, and include other avoided QEC fixed and variable costs, avoided Government of Nunavut (GN) costs </w:t>
      </w:r>
      <w:r>
        <w:rPr>
          <w:sz w:val="24"/>
          <w:szCs w:val="24"/>
        </w:rPr>
        <w:t>[</w:t>
      </w:r>
      <w:r>
        <w:rPr>
          <w:color w:val="000000"/>
          <w:sz w:val="24"/>
          <w:szCs w:val="24"/>
        </w:rPr>
        <w:t xml:space="preserve">e.g. </w:t>
      </w:r>
      <w:r w:rsidR="003C658C">
        <w:rPr>
          <w:color w:val="000000"/>
          <w:sz w:val="24"/>
          <w:szCs w:val="24"/>
        </w:rPr>
        <w:t>Petroleum Products Division (</w:t>
      </w:r>
      <w:r>
        <w:rPr>
          <w:color w:val="000000"/>
          <w:sz w:val="24"/>
          <w:szCs w:val="24"/>
        </w:rPr>
        <w:t>PPD</w:t>
      </w:r>
      <w:r w:rsidR="003C658C">
        <w:rPr>
          <w:color w:val="000000"/>
          <w:sz w:val="24"/>
          <w:szCs w:val="24"/>
        </w:rPr>
        <w:t>)</w:t>
      </w:r>
      <w:r>
        <w:rPr>
          <w:color w:val="000000"/>
          <w:sz w:val="24"/>
          <w:szCs w:val="24"/>
        </w:rPr>
        <w:t>, electricity subsidy program, staff housing policy, income assistance program(s), as well as social, health and environmental costs related to carbon/emissions, (including but not limited to potential carbon taxes)</w:t>
      </w:r>
      <w:r>
        <w:rPr>
          <w:sz w:val="24"/>
          <w:szCs w:val="24"/>
        </w:rPr>
        <w:t>]</w:t>
      </w:r>
      <w:r>
        <w:rPr>
          <w:color w:val="000000"/>
          <w:sz w:val="24"/>
          <w:szCs w:val="24"/>
        </w:rPr>
        <w:t>.</w:t>
      </w:r>
    </w:p>
    <w:p w14:paraId="4E819C4D" w14:textId="77777777" w:rsidR="003D56E8" w:rsidRDefault="00AA767F" w:rsidP="00F82D91">
      <w:pPr>
        <w:numPr>
          <w:ilvl w:val="3"/>
          <w:numId w:val="4"/>
        </w:numPr>
        <w:pBdr>
          <w:top w:val="nil"/>
          <w:left w:val="nil"/>
          <w:bottom w:val="nil"/>
          <w:right w:val="nil"/>
          <w:between w:val="nil"/>
        </w:pBdr>
        <w:tabs>
          <w:tab w:val="left" w:pos="885"/>
        </w:tabs>
        <w:spacing w:before="60" w:line="360" w:lineRule="auto"/>
        <w:ind w:left="1541" w:right="115" w:hanging="274"/>
        <w:jc w:val="both"/>
        <w:rPr>
          <w:color w:val="000000"/>
          <w:sz w:val="24"/>
          <w:szCs w:val="24"/>
        </w:rPr>
      </w:pPr>
      <w:r>
        <w:rPr>
          <w:color w:val="000000"/>
          <w:sz w:val="24"/>
          <w:szCs w:val="24"/>
        </w:rPr>
        <w:t>The structure of the net-metering program is preferable to the CIPP program because it is more attractive to potential proponents, except perhaps for large projects.</w:t>
      </w:r>
    </w:p>
    <w:p w14:paraId="5D561894" w14:textId="03E9FE0C" w:rsidR="003D56E8" w:rsidRDefault="00AA767F" w:rsidP="00F82D91">
      <w:pPr>
        <w:numPr>
          <w:ilvl w:val="3"/>
          <w:numId w:val="4"/>
        </w:numPr>
        <w:pBdr>
          <w:top w:val="nil"/>
          <w:left w:val="nil"/>
          <w:bottom w:val="nil"/>
          <w:right w:val="nil"/>
          <w:between w:val="nil"/>
        </w:pBdr>
        <w:tabs>
          <w:tab w:val="left" w:pos="885"/>
        </w:tabs>
        <w:spacing w:before="60" w:line="360" w:lineRule="auto"/>
        <w:ind w:left="1541" w:right="115" w:hanging="274"/>
        <w:jc w:val="both"/>
        <w:rPr>
          <w:color w:val="000000"/>
          <w:sz w:val="24"/>
          <w:szCs w:val="24"/>
        </w:rPr>
      </w:pPr>
      <w:r>
        <w:rPr>
          <w:color w:val="000000"/>
          <w:sz w:val="24"/>
          <w:szCs w:val="24"/>
        </w:rPr>
        <w:t>The CIPP program should be cost-neutral to customers, but also attractive enough to encourage investment in renewables.</w:t>
      </w:r>
    </w:p>
    <w:p w14:paraId="4AF9C11A" w14:textId="77777777" w:rsidR="003D56E8" w:rsidRDefault="00AA767F" w:rsidP="00F82D91">
      <w:pPr>
        <w:numPr>
          <w:ilvl w:val="3"/>
          <w:numId w:val="4"/>
        </w:numPr>
        <w:pBdr>
          <w:top w:val="nil"/>
          <w:left w:val="nil"/>
          <w:bottom w:val="nil"/>
          <w:right w:val="nil"/>
          <w:between w:val="nil"/>
        </w:pBdr>
        <w:tabs>
          <w:tab w:val="left" w:pos="885"/>
        </w:tabs>
        <w:spacing w:before="60" w:line="360" w:lineRule="auto"/>
        <w:ind w:left="1541" w:right="115" w:hanging="274"/>
        <w:jc w:val="both"/>
        <w:rPr>
          <w:color w:val="000000"/>
          <w:sz w:val="24"/>
          <w:szCs w:val="24"/>
        </w:rPr>
      </w:pPr>
      <w:r>
        <w:rPr>
          <w:color w:val="000000"/>
          <w:sz w:val="24"/>
          <w:szCs w:val="24"/>
        </w:rPr>
        <w:t>There is no definition of renewable energy, or limit on generating capacity included in the CIPP program.</w:t>
      </w:r>
    </w:p>
    <w:p w14:paraId="6A71EC64" w14:textId="77777777" w:rsidR="003D56E8" w:rsidRDefault="00AA767F" w:rsidP="00F82D91">
      <w:pPr>
        <w:numPr>
          <w:ilvl w:val="3"/>
          <w:numId w:val="4"/>
        </w:numPr>
        <w:pBdr>
          <w:top w:val="nil"/>
          <w:left w:val="nil"/>
          <w:bottom w:val="nil"/>
          <w:right w:val="nil"/>
          <w:between w:val="nil"/>
        </w:pBdr>
        <w:tabs>
          <w:tab w:val="left" w:pos="885"/>
        </w:tabs>
        <w:spacing w:before="60" w:line="360" w:lineRule="auto"/>
        <w:ind w:left="1541" w:right="115" w:hanging="274"/>
        <w:jc w:val="both"/>
        <w:rPr>
          <w:color w:val="000000"/>
          <w:sz w:val="24"/>
          <w:szCs w:val="24"/>
        </w:rPr>
      </w:pPr>
      <w:r>
        <w:rPr>
          <w:color w:val="000000"/>
          <w:sz w:val="24"/>
          <w:szCs w:val="24"/>
        </w:rPr>
        <w:t xml:space="preserve">The CIPP purchase price should include an </w:t>
      </w:r>
      <w:r>
        <w:rPr>
          <w:sz w:val="24"/>
          <w:szCs w:val="24"/>
        </w:rPr>
        <w:t>incentive</w:t>
      </w:r>
      <w:r>
        <w:rPr>
          <w:color w:val="000000"/>
          <w:sz w:val="24"/>
          <w:szCs w:val="24"/>
        </w:rPr>
        <w:t xml:space="preserve"> to promote Inuit ownership in renewable energy installations.</w:t>
      </w:r>
    </w:p>
    <w:p w14:paraId="2F86B263" w14:textId="77777777" w:rsidR="003D56E8" w:rsidRDefault="00AA767F" w:rsidP="00F82D91">
      <w:pPr>
        <w:numPr>
          <w:ilvl w:val="3"/>
          <w:numId w:val="4"/>
        </w:numPr>
        <w:pBdr>
          <w:top w:val="nil"/>
          <w:left w:val="nil"/>
          <w:bottom w:val="nil"/>
          <w:right w:val="nil"/>
          <w:between w:val="nil"/>
        </w:pBdr>
        <w:tabs>
          <w:tab w:val="left" w:pos="885"/>
        </w:tabs>
        <w:spacing w:before="60" w:line="360" w:lineRule="auto"/>
        <w:ind w:left="1541" w:right="115" w:hanging="274"/>
        <w:jc w:val="both"/>
        <w:rPr>
          <w:color w:val="000000"/>
          <w:sz w:val="24"/>
          <w:szCs w:val="24"/>
        </w:rPr>
      </w:pPr>
      <w:r>
        <w:rPr>
          <w:color w:val="000000"/>
          <w:sz w:val="24"/>
          <w:szCs w:val="24"/>
        </w:rPr>
        <w:t>The CIPP program should outline the need for a grid impact study and who is responsible for completing the work (i.e. not all of the onus should be placed on the CIPP proponent).</w:t>
      </w:r>
    </w:p>
    <w:p w14:paraId="5D7655AE" w14:textId="77777777" w:rsidR="003D56E8" w:rsidRDefault="00AA767F" w:rsidP="005D40A6">
      <w:pPr>
        <w:widowControl/>
        <w:numPr>
          <w:ilvl w:val="3"/>
          <w:numId w:val="4"/>
        </w:numPr>
        <w:pBdr>
          <w:top w:val="nil"/>
          <w:left w:val="nil"/>
          <w:bottom w:val="nil"/>
          <w:right w:val="nil"/>
          <w:between w:val="nil"/>
        </w:pBdr>
        <w:tabs>
          <w:tab w:val="left" w:pos="885"/>
        </w:tabs>
        <w:spacing w:before="60" w:line="360" w:lineRule="auto"/>
        <w:ind w:left="1541" w:right="115" w:hanging="274"/>
        <w:jc w:val="both"/>
        <w:rPr>
          <w:color w:val="000000"/>
          <w:sz w:val="24"/>
          <w:szCs w:val="24"/>
        </w:rPr>
      </w:pPr>
      <w:r>
        <w:rPr>
          <w:color w:val="000000"/>
          <w:sz w:val="24"/>
          <w:szCs w:val="24"/>
        </w:rPr>
        <w:lastRenderedPageBreak/>
        <w:t>The CIPP purchase price should include an additional allowance to reflect the value that renewables and battery energy storage can provide to operations and grid stability.</w:t>
      </w:r>
    </w:p>
    <w:p w14:paraId="1FC1EC9F" w14:textId="334D6053" w:rsidR="003D56E8" w:rsidRDefault="00AA767F" w:rsidP="005747F1">
      <w:pPr>
        <w:keepNext/>
        <w:keepLines/>
        <w:widowControl/>
        <w:numPr>
          <w:ilvl w:val="2"/>
          <w:numId w:val="4"/>
        </w:numPr>
        <w:pBdr>
          <w:top w:val="nil"/>
          <w:left w:val="nil"/>
          <w:bottom w:val="nil"/>
          <w:right w:val="nil"/>
          <w:between w:val="nil"/>
        </w:pBdr>
        <w:tabs>
          <w:tab w:val="left" w:pos="885"/>
        </w:tabs>
        <w:spacing w:line="360" w:lineRule="auto"/>
        <w:ind w:left="878" w:right="115"/>
        <w:jc w:val="both"/>
        <w:rPr>
          <w:sz w:val="24"/>
          <w:szCs w:val="24"/>
        </w:rPr>
        <w:sectPr w:rsidR="003D56E8">
          <w:pgSz w:w="12240" w:h="15840"/>
          <w:pgMar w:top="1411" w:right="1310" w:bottom="1138" w:left="1310" w:header="720" w:footer="720" w:gutter="0"/>
          <w:cols w:space="720" w:equalWidth="0">
            <w:col w:w="9360"/>
          </w:cols>
        </w:sectPr>
      </w:pPr>
      <w:r>
        <w:rPr>
          <w:color w:val="000000"/>
          <w:sz w:val="24"/>
          <w:szCs w:val="24"/>
        </w:rPr>
        <w:t xml:space="preserve">Omission of a comment or feedback in this </w:t>
      </w:r>
      <w:r w:rsidR="002F4ECC">
        <w:rPr>
          <w:color w:val="000000"/>
          <w:sz w:val="24"/>
          <w:szCs w:val="24"/>
        </w:rPr>
        <w:t>R</w:t>
      </w:r>
      <w:r>
        <w:rPr>
          <w:color w:val="000000"/>
          <w:sz w:val="24"/>
          <w:szCs w:val="24"/>
        </w:rPr>
        <w:t xml:space="preserve">eport should not be interpreted as agreement or disagreement by the URRC, or, that it was not considered. For a more complete understanding of the comments and feedback please refer to the submissions. </w:t>
      </w:r>
    </w:p>
    <w:p w14:paraId="4EBB7329" w14:textId="083DCC8F" w:rsidR="00A928FC" w:rsidRDefault="00A928FC" w:rsidP="00A928FC">
      <w:bookmarkStart w:id="22" w:name="bookmark=id.26in1rg" w:colFirst="0" w:colLast="0"/>
      <w:bookmarkStart w:id="23" w:name="_heading=h.lnxbz9" w:colFirst="0" w:colLast="0"/>
      <w:bookmarkEnd w:id="22"/>
      <w:bookmarkEnd w:id="23"/>
    </w:p>
    <w:p w14:paraId="45DD3196" w14:textId="77777777" w:rsidR="00A928FC" w:rsidRDefault="00A928FC" w:rsidP="00A928FC"/>
    <w:p w14:paraId="6D9F65A1" w14:textId="004AC02F" w:rsidR="003D56E8" w:rsidRDefault="00AA767F" w:rsidP="00FD4CC3">
      <w:pPr>
        <w:pStyle w:val="URRCHeading1"/>
      </w:pPr>
      <w:bookmarkStart w:id="24" w:name="_Toc52808120"/>
      <w:r>
        <w:t>EXAMINATION OF THE APPLICATION</w:t>
      </w:r>
      <w:bookmarkEnd w:id="24"/>
    </w:p>
    <w:p w14:paraId="170AB179" w14:textId="77777777" w:rsidR="003D56E8" w:rsidRPr="00A928FC" w:rsidRDefault="003D56E8">
      <w:pPr>
        <w:pBdr>
          <w:top w:val="nil"/>
          <w:left w:val="nil"/>
          <w:bottom w:val="nil"/>
          <w:right w:val="nil"/>
          <w:between w:val="nil"/>
        </w:pBdr>
        <w:rPr>
          <w:color w:val="000000"/>
          <w:sz w:val="24"/>
          <w:szCs w:val="24"/>
        </w:rPr>
      </w:pPr>
    </w:p>
    <w:p w14:paraId="10473CA9" w14:textId="77777777" w:rsidR="003D56E8" w:rsidRDefault="00AA767F" w:rsidP="00FD4CC3">
      <w:pPr>
        <w:pStyle w:val="URRCHeading2"/>
      </w:pPr>
      <w:bookmarkStart w:id="25" w:name="bookmark=id.35nkun2" w:colFirst="0" w:colLast="0"/>
      <w:bookmarkStart w:id="26" w:name="_heading=h.1ksv4uv" w:colFirst="0" w:colLast="0"/>
      <w:bookmarkStart w:id="27" w:name="_Toc52808121"/>
      <w:bookmarkEnd w:id="25"/>
      <w:bookmarkEnd w:id="26"/>
      <w:r>
        <w:t>OVERALL OBJECTIVE AND PREMISE FOR THE CIPP PROGRAM</w:t>
      </w:r>
      <w:bookmarkEnd w:id="27"/>
    </w:p>
    <w:p w14:paraId="17EEE0BC" w14:textId="77777777" w:rsidR="003D56E8" w:rsidRPr="00A928FC" w:rsidRDefault="003D56E8">
      <w:pPr>
        <w:pBdr>
          <w:top w:val="nil"/>
          <w:left w:val="nil"/>
          <w:bottom w:val="nil"/>
          <w:right w:val="nil"/>
          <w:between w:val="nil"/>
        </w:pBdr>
        <w:spacing w:before="8"/>
        <w:rPr>
          <w:color w:val="000000"/>
          <w:sz w:val="24"/>
          <w:szCs w:val="24"/>
        </w:rPr>
      </w:pPr>
    </w:p>
    <w:p w14:paraId="42304EC2" w14:textId="70768844" w:rsidR="003D56E8" w:rsidRDefault="00AA767F">
      <w:pPr>
        <w:numPr>
          <w:ilvl w:val="2"/>
          <w:numId w:val="4"/>
        </w:numPr>
        <w:pBdr>
          <w:top w:val="nil"/>
          <w:left w:val="nil"/>
          <w:bottom w:val="nil"/>
          <w:right w:val="nil"/>
          <w:between w:val="nil"/>
        </w:pBdr>
        <w:tabs>
          <w:tab w:val="left" w:pos="885"/>
        </w:tabs>
        <w:spacing w:line="360" w:lineRule="auto"/>
        <w:ind w:right="117"/>
        <w:jc w:val="both"/>
        <w:rPr>
          <w:color w:val="000000"/>
          <w:sz w:val="24"/>
          <w:szCs w:val="24"/>
        </w:rPr>
      </w:pPr>
      <w:r>
        <w:rPr>
          <w:color w:val="000000"/>
          <w:sz w:val="24"/>
          <w:szCs w:val="24"/>
        </w:rPr>
        <w:t xml:space="preserve">The URRC notes that QEC stated its mandate is to provide safe and reliable electricity in an affordable fashion. QEC also stated that it </w:t>
      </w:r>
      <w:r>
        <w:rPr>
          <w:sz w:val="24"/>
          <w:szCs w:val="24"/>
        </w:rPr>
        <w:t>“</w:t>
      </w:r>
      <w:r>
        <w:rPr>
          <w:color w:val="000000"/>
          <w:sz w:val="24"/>
          <w:szCs w:val="24"/>
        </w:rPr>
        <w:t>recognizes the need for a long-term approach that prioritizes and maximizes the benefits of moving to renewable energy and decreasing QEC’s dependency on diesel fuel, all while still providing safe, reliable and affordable electricity</w:t>
      </w:r>
      <w:r w:rsidR="005D40A6">
        <w:rPr>
          <w:color w:val="000000"/>
          <w:sz w:val="24"/>
          <w:szCs w:val="24"/>
        </w:rPr>
        <w:t>.</w:t>
      </w:r>
      <w:r>
        <w:rPr>
          <w:sz w:val="24"/>
          <w:szCs w:val="24"/>
        </w:rPr>
        <w:t>”</w:t>
      </w:r>
      <w:r>
        <w:rPr>
          <w:color w:val="000000"/>
          <w:sz w:val="24"/>
          <w:szCs w:val="24"/>
        </w:rPr>
        <w:t xml:space="preserve"> QEC submitted that the CIPP program aligns with that objective.</w:t>
      </w:r>
    </w:p>
    <w:p w14:paraId="524A46BC" w14:textId="04E799C9" w:rsidR="003D56E8" w:rsidRDefault="00AA767F">
      <w:pPr>
        <w:numPr>
          <w:ilvl w:val="2"/>
          <w:numId w:val="4"/>
        </w:numPr>
        <w:pBdr>
          <w:top w:val="nil"/>
          <w:left w:val="nil"/>
          <w:bottom w:val="nil"/>
          <w:right w:val="nil"/>
          <w:between w:val="nil"/>
        </w:pBdr>
        <w:tabs>
          <w:tab w:val="left" w:pos="885"/>
        </w:tabs>
        <w:spacing w:line="360" w:lineRule="auto"/>
        <w:ind w:right="117"/>
        <w:jc w:val="both"/>
        <w:rPr>
          <w:color w:val="000000"/>
          <w:sz w:val="24"/>
          <w:szCs w:val="24"/>
        </w:rPr>
      </w:pPr>
      <w:r>
        <w:rPr>
          <w:color w:val="000000"/>
          <w:sz w:val="24"/>
          <w:szCs w:val="24"/>
        </w:rPr>
        <w:t xml:space="preserve">The URRC asked for clarification of the policy or objectives QEC was proposing to achieve through the CIPP </w:t>
      </w:r>
      <w:r w:rsidR="00AA7180">
        <w:rPr>
          <w:color w:val="000000"/>
          <w:sz w:val="24"/>
          <w:szCs w:val="24"/>
        </w:rPr>
        <w:t>A</w:t>
      </w:r>
      <w:r>
        <w:rPr>
          <w:color w:val="000000"/>
          <w:sz w:val="24"/>
          <w:szCs w:val="24"/>
        </w:rPr>
        <w:t xml:space="preserve">pplication. The URRC notes that the </w:t>
      </w:r>
      <w:r w:rsidR="00AC7BA1" w:rsidRPr="00AC7BA1">
        <w:rPr>
          <w:i/>
          <w:color w:val="000000"/>
          <w:sz w:val="24"/>
          <w:szCs w:val="24"/>
        </w:rPr>
        <w:t xml:space="preserve">Qulliq Energy Corporation </w:t>
      </w:r>
      <w:r w:rsidRPr="00AC7BA1">
        <w:rPr>
          <w:i/>
          <w:color w:val="000000"/>
          <w:sz w:val="24"/>
          <w:szCs w:val="24"/>
        </w:rPr>
        <w:t>Act</w:t>
      </w:r>
      <w:r>
        <w:rPr>
          <w:color w:val="000000"/>
          <w:sz w:val="24"/>
          <w:szCs w:val="24"/>
        </w:rPr>
        <w:t xml:space="preserve"> was revised in 2018 to enable QEC to purchase power. The URRC also notes submissions by QEC and the Climate Change Secretariat that the GN (through it</w:t>
      </w:r>
      <w:r>
        <w:rPr>
          <w:sz w:val="24"/>
          <w:szCs w:val="24"/>
        </w:rPr>
        <w:t>s mandate document</w:t>
      </w:r>
      <w:r>
        <w:rPr>
          <w:color w:val="000000"/>
          <w:sz w:val="24"/>
          <w:szCs w:val="24"/>
        </w:rPr>
        <w:t xml:space="preserve"> </w:t>
      </w:r>
      <w:r>
        <w:rPr>
          <w:i/>
          <w:color w:val="000000"/>
          <w:sz w:val="24"/>
          <w:szCs w:val="24"/>
        </w:rPr>
        <w:t>Turaaqtavut</w:t>
      </w:r>
      <w:r>
        <w:rPr>
          <w:color w:val="000000"/>
          <w:sz w:val="24"/>
          <w:szCs w:val="24"/>
        </w:rPr>
        <w:t>) is committed to reducing GHG emissions in Nunavut.</w:t>
      </w:r>
    </w:p>
    <w:p w14:paraId="06888779" w14:textId="77777777" w:rsidR="003D56E8" w:rsidRDefault="00AA767F">
      <w:pPr>
        <w:numPr>
          <w:ilvl w:val="2"/>
          <w:numId w:val="4"/>
        </w:numPr>
        <w:pBdr>
          <w:top w:val="nil"/>
          <w:left w:val="nil"/>
          <w:bottom w:val="nil"/>
          <w:right w:val="nil"/>
          <w:between w:val="nil"/>
        </w:pBdr>
        <w:tabs>
          <w:tab w:val="left" w:pos="885"/>
        </w:tabs>
        <w:spacing w:line="360" w:lineRule="auto"/>
        <w:ind w:right="117"/>
        <w:jc w:val="both"/>
        <w:rPr>
          <w:color w:val="000000"/>
          <w:sz w:val="24"/>
          <w:szCs w:val="24"/>
        </w:rPr>
      </w:pPr>
      <w:r>
        <w:rPr>
          <w:color w:val="000000"/>
          <w:sz w:val="24"/>
          <w:szCs w:val="24"/>
        </w:rPr>
        <w:t>QEC submitted that the CIPP program will not increase costs for customers, nor will it affect the reliability of service. Some of the public submissions aligned with QEC’s objective and premise for the program, however, others did not agree that cost increases must be avoided.</w:t>
      </w:r>
    </w:p>
    <w:p w14:paraId="3EC1D305" w14:textId="77777777" w:rsidR="003D56E8" w:rsidRDefault="00AA767F">
      <w:pPr>
        <w:numPr>
          <w:ilvl w:val="2"/>
          <w:numId w:val="4"/>
        </w:numPr>
        <w:pBdr>
          <w:top w:val="nil"/>
          <w:left w:val="nil"/>
          <w:bottom w:val="nil"/>
          <w:right w:val="nil"/>
          <w:between w:val="nil"/>
        </w:pBdr>
        <w:tabs>
          <w:tab w:val="left" w:pos="885"/>
        </w:tabs>
        <w:spacing w:line="360" w:lineRule="auto"/>
        <w:ind w:right="117"/>
        <w:jc w:val="both"/>
        <w:rPr>
          <w:color w:val="000000"/>
          <w:sz w:val="24"/>
          <w:szCs w:val="24"/>
        </w:rPr>
      </w:pPr>
      <w:r>
        <w:rPr>
          <w:color w:val="000000"/>
          <w:sz w:val="24"/>
          <w:szCs w:val="24"/>
        </w:rPr>
        <w:t>The URRC notes that QEC submitted the CIPP program will not result in increased rates for customers. No additional staff or human resources will be required to implement, administer and operate the CIPP program. QEC also submitted that the need for additional investment in equipment, upgrades, or integration in the QEC system will be borne by the CIPP proponent. The URRC agrees that this is consistent with QEC’s stated approach that the cost of introducing renewable energy into Nunavut’s communities should not be passed on to QEC’s customers, who already pay some of the highest electricity rates across Canada.</w:t>
      </w:r>
    </w:p>
    <w:p w14:paraId="2CC94B26" w14:textId="18356AFC" w:rsidR="003D56E8" w:rsidRDefault="00AA767F">
      <w:pPr>
        <w:numPr>
          <w:ilvl w:val="2"/>
          <w:numId w:val="4"/>
        </w:numPr>
        <w:pBdr>
          <w:top w:val="nil"/>
          <w:left w:val="nil"/>
          <w:bottom w:val="nil"/>
          <w:right w:val="nil"/>
          <w:between w:val="nil"/>
        </w:pBdr>
        <w:tabs>
          <w:tab w:val="left" w:pos="885"/>
        </w:tabs>
        <w:spacing w:line="360" w:lineRule="auto"/>
        <w:ind w:right="117"/>
        <w:jc w:val="both"/>
        <w:rPr>
          <w:color w:val="000000"/>
          <w:sz w:val="24"/>
          <w:szCs w:val="24"/>
        </w:rPr>
      </w:pPr>
      <w:r>
        <w:rPr>
          <w:color w:val="000000"/>
          <w:sz w:val="24"/>
          <w:szCs w:val="24"/>
        </w:rPr>
        <w:t xml:space="preserve">The URRC asked QEC about its review of independent power producer (IPP) program pricing option practices in other Canadian jurisdictions. It was clear from QEC’s </w:t>
      </w:r>
      <w:r w:rsidR="00AA7180">
        <w:rPr>
          <w:color w:val="000000"/>
          <w:sz w:val="24"/>
          <w:szCs w:val="24"/>
        </w:rPr>
        <w:t>A</w:t>
      </w:r>
      <w:r>
        <w:rPr>
          <w:color w:val="000000"/>
          <w:sz w:val="24"/>
          <w:szCs w:val="24"/>
        </w:rPr>
        <w:t xml:space="preserve">pplication and the public submissions that there is no consensus on how to introduce and provide incentives for the development of renewable generation. It was also clear </w:t>
      </w:r>
      <w:r>
        <w:rPr>
          <w:color w:val="000000"/>
          <w:sz w:val="24"/>
          <w:szCs w:val="24"/>
        </w:rPr>
        <w:lastRenderedPageBreak/>
        <w:t xml:space="preserve">that there are significant differences in service territory, systems, and legislation/policies/programs across Canada and that, while Nunavut may be informed by the approach taken in other jurisdictions, Nunavut and QEC should develop its own program. Noting the limited information provided in the CIPP Application, the URRC sought to supplement the Application through the </w:t>
      </w:r>
      <w:r w:rsidR="00FE7A8A">
        <w:rPr>
          <w:color w:val="000000"/>
          <w:sz w:val="24"/>
          <w:szCs w:val="24"/>
        </w:rPr>
        <w:t>IRs</w:t>
      </w:r>
      <w:r>
        <w:rPr>
          <w:color w:val="000000"/>
          <w:sz w:val="24"/>
          <w:szCs w:val="24"/>
        </w:rPr>
        <w:t>. QEC was helpful in its responses, but the URRC notes that other than the CIPP pricing structure, much of the CIPP program appears to be in development and not yet completed.</w:t>
      </w:r>
    </w:p>
    <w:p w14:paraId="4154AC99" w14:textId="77777777" w:rsidR="003D56E8" w:rsidRDefault="00AA767F">
      <w:pPr>
        <w:numPr>
          <w:ilvl w:val="2"/>
          <w:numId w:val="4"/>
        </w:numPr>
        <w:pBdr>
          <w:top w:val="nil"/>
          <w:left w:val="nil"/>
          <w:bottom w:val="nil"/>
          <w:right w:val="nil"/>
          <w:between w:val="nil"/>
        </w:pBdr>
        <w:tabs>
          <w:tab w:val="left" w:pos="885"/>
        </w:tabs>
        <w:spacing w:line="360" w:lineRule="auto"/>
        <w:ind w:right="117"/>
        <w:jc w:val="both"/>
        <w:rPr>
          <w:color w:val="000000"/>
          <w:sz w:val="24"/>
          <w:szCs w:val="24"/>
        </w:rPr>
      </w:pPr>
      <w:r>
        <w:rPr>
          <w:color w:val="000000"/>
          <w:sz w:val="24"/>
          <w:szCs w:val="24"/>
        </w:rPr>
        <w:t xml:space="preserve">In general terms the URRC agrees with the premise that QEC should enable the addition of renewable generation to its system without increasing the costs/rates of its other customers. The URRC will now continue with an assessment of whether or not the CIPP </w:t>
      </w:r>
      <w:r>
        <w:rPr>
          <w:sz w:val="24"/>
          <w:szCs w:val="24"/>
        </w:rPr>
        <w:t>A</w:t>
      </w:r>
      <w:r>
        <w:rPr>
          <w:color w:val="000000"/>
          <w:sz w:val="24"/>
          <w:szCs w:val="24"/>
        </w:rPr>
        <w:t>pplication satisfies that premise and is complete enough to be approved as filed.</w:t>
      </w:r>
    </w:p>
    <w:p w14:paraId="686E4179" w14:textId="77777777" w:rsidR="003D56E8" w:rsidRDefault="003D56E8" w:rsidP="008125BE">
      <w:pPr>
        <w:pBdr>
          <w:top w:val="nil"/>
          <w:left w:val="nil"/>
          <w:bottom w:val="nil"/>
          <w:right w:val="nil"/>
          <w:between w:val="nil"/>
        </w:pBdr>
        <w:tabs>
          <w:tab w:val="left" w:pos="885"/>
        </w:tabs>
        <w:ind w:left="878" w:right="115"/>
        <w:jc w:val="both"/>
        <w:rPr>
          <w:color w:val="000000"/>
          <w:sz w:val="24"/>
          <w:szCs w:val="24"/>
        </w:rPr>
      </w:pPr>
    </w:p>
    <w:p w14:paraId="68D29B44" w14:textId="77777777" w:rsidR="003D56E8" w:rsidRDefault="00AA767F" w:rsidP="00FD4CC3">
      <w:pPr>
        <w:pStyle w:val="URRCHeading2"/>
      </w:pPr>
      <w:bookmarkStart w:id="28" w:name="_Toc52808122"/>
      <w:r>
        <w:t>CIPP PRICING STRUCTURE</w:t>
      </w:r>
      <w:bookmarkEnd w:id="28"/>
    </w:p>
    <w:p w14:paraId="729B7783" w14:textId="77777777" w:rsidR="003D56E8" w:rsidRPr="00A928FC" w:rsidRDefault="003D56E8">
      <w:pPr>
        <w:pBdr>
          <w:top w:val="nil"/>
          <w:left w:val="nil"/>
          <w:bottom w:val="nil"/>
          <w:right w:val="nil"/>
          <w:between w:val="nil"/>
        </w:pBdr>
        <w:spacing w:before="8"/>
        <w:rPr>
          <w:b/>
          <w:color w:val="000000"/>
          <w:sz w:val="24"/>
          <w:szCs w:val="24"/>
        </w:rPr>
      </w:pPr>
    </w:p>
    <w:p w14:paraId="5144C770" w14:textId="77777777" w:rsidR="003D56E8" w:rsidRDefault="00AA767F">
      <w:pPr>
        <w:numPr>
          <w:ilvl w:val="2"/>
          <w:numId w:val="4"/>
        </w:numPr>
        <w:pBdr>
          <w:top w:val="nil"/>
          <w:left w:val="nil"/>
          <w:bottom w:val="nil"/>
          <w:right w:val="nil"/>
          <w:between w:val="nil"/>
        </w:pBdr>
        <w:tabs>
          <w:tab w:val="left" w:pos="885"/>
        </w:tabs>
        <w:spacing w:line="360" w:lineRule="auto"/>
        <w:ind w:right="117"/>
        <w:jc w:val="both"/>
        <w:rPr>
          <w:color w:val="000000"/>
          <w:sz w:val="24"/>
          <w:szCs w:val="24"/>
        </w:rPr>
      </w:pPr>
      <w:r>
        <w:rPr>
          <w:color w:val="000000"/>
          <w:sz w:val="24"/>
          <w:szCs w:val="24"/>
        </w:rPr>
        <w:t>The URRC notes that QEC has only applied, at this time, for approval of its pricing structure Option 3. The URRC asked QEC to clarify aspects of its pricing structure and possible enhancements or modifications. The URRC also notes that all of the public submissions included feedback with suggested improvements to the pricing structure.</w:t>
      </w:r>
    </w:p>
    <w:p w14:paraId="56A3EE6D" w14:textId="7C95E9EE" w:rsidR="003D56E8" w:rsidRDefault="00AA767F" w:rsidP="00C5623A">
      <w:pPr>
        <w:widowControl/>
        <w:numPr>
          <w:ilvl w:val="2"/>
          <w:numId w:val="4"/>
        </w:numPr>
        <w:pBdr>
          <w:top w:val="nil"/>
          <w:left w:val="nil"/>
          <w:bottom w:val="nil"/>
          <w:right w:val="nil"/>
          <w:between w:val="nil"/>
        </w:pBdr>
        <w:tabs>
          <w:tab w:val="left" w:pos="885"/>
        </w:tabs>
        <w:spacing w:line="360" w:lineRule="auto"/>
        <w:ind w:left="878" w:right="115"/>
        <w:jc w:val="both"/>
        <w:rPr>
          <w:color w:val="000000"/>
          <w:sz w:val="24"/>
          <w:szCs w:val="24"/>
        </w:rPr>
      </w:pPr>
      <w:r>
        <w:rPr>
          <w:color w:val="000000"/>
          <w:sz w:val="24"/>
          <w:szCs w:val="24"/>
        </w:rPr>
        <w:t>QEC stated that the CIPP price should be based solely on the avoided cost of fuel required for generation. QEC submitted that this was the basis used in other jurisdictions. The URRC notes that some other jurisdictions have incorporated the avoided cost of fuel into their renewable programs. The URRC sought to better understand the relationship between renewable generation added to the QEC grid and the corresponding diesel savings. It was clarified that QEC assumed a one</w:t>
      </w:r>
      <w:r w:rsidR="007027B4">
        <w:rPr>
          <w:color w:val="000000"/>
          <w:sz w:val="24"/>
          <w:szCs w:val="24"/>
        </w:rPr>
        <w:t>-</w:t>
      </w:r>
      <w:r>
        <w:rPr>
          <w:color w:val="000000"/>
          <w:sz w:val="24"/>
          <w:szCs w:val="24"/>
        </w:rPr>
        <w:t>to</w:t>
      </w:r>
      <w:r w:rsidR="007027B4">
        <w:rPr>
          <w:color w:val="000000"/>
          <w:sz w:val="24"/>
          <w:szCs w:val="24"/>
        </w:rPr>
        <w:t>-</w:t>
      </w:r>
      <w:r>
        <w:rPr>
          <w:color w:val="000000"/>
          <w:sz w:val="24"/>
          <w:szCs w:val="24"/>
        </w:rPr>
        <w:t>one relationship, but that it may not be realized in the short term and individual cases due to loading and operational conditions. QEC submitted that it expected a linear or one</w:t>
      </w:r>
      <w:r w:rsidR="007027B4">
        <w:rPr>
          <w:color w:val="000000"/>
          <w:sz w:val="24"/>
          <w:szCs w:val="24"/>
        </w:rPr>
        <w:noBreakHyphen/>
      </w:r>
      <w:r>
        <w:rPr>
          <w:color w:val="000000"/>
          <w:sz w:val="24"/>
          <w:szCs w:val="24"/>
        </w:rPr>
        <w:t>to</w:t>
      </w:r>
      <w:r w:rsidR="007027B4">
        <w:rPr>
          <w:color w:val="000000"/>
          <w:sz w:val="24"/>
          <w:szCs w:val="24"/>
        </w:rPr>
        <w:t>-</w:t>
      </w:r>
      <w:r>
        <w:rPr>
          <w:color w:val="000000"/>
          <w:sz w:val="24"/>
          <w:szCs w:val="24"/>
        </w:rPr>
        <w:t>one relationship between avoided diesel and renewable generation in the long</w:t>
      </w:r>
      <w:r w:rsidR="007027B4">
        <w:rPr>
          <w:color w:val="000000"/>
          <w:sz w:val="24"/>
          <w:szCs w:val="24"/>
        </w:rPr>
        <w:t> </w:t>
      </w:r>
      <w:r>
        <w:rPr>
          <w:color w:val="000000"/>
          <w:sz w:val="24"/>
          <w:szCs w:val="24"/>
        </w:rPr>
        <w:t xml:space="preserve">term when meaningful penetration of CIPP </w:t>
      </w:r>
      <w:r>
        <w:rPr>
          <w:sz w:val="24"/>
          <w:szCs w:val="24"/>
        </w:rPr>
        <w:t>proponents</w:t>
      </w:r>
      <w:r>
        <w:rPr>
          <w:color w:val="000000"/>
          <w:sz w:val="24"/>
          <w:szCs w:val="24"/>
        </w:rPr>
        <w:t xml:space="preserve"> is attained. The URRC understands that while there may not be a perfect one</w:t>
      </w:r>
      <w:r w:rsidR="007027B4">
        <w:rPr>
          <w:color w:val="000000"/>
          <w:sz w:val="24"/>
          <w:szCs w:val="24"/>
        </w:rPr>
        <w:t>-</w:t>
      </w:r>
      <w:r>
        <w:rPr>
          <w:color w:val="000000"/>
          <w:sz w:val="24"/>
          <w:szCs w:val="24"/>
        </w:rPr>
        <w:t>to</w:t>
      </w:r>
      <w:r w:rsidR="007027B4">
        <w:rPr>
          <w:color w:val="000000"/>
          <w:sz w:val="24"/>
          <w:szCs w:val="24"/>
        </w:rPr>
        <w:t>-</w:t>
      </w:r>
      <w:r>
        <w:rPr>
          <w:color w:val="000000"/>
          <w:sz w:val="24"/>
          <w:szCs w:val="24"/>
        </w:rPr>
        <w:t xml:space="preserve">one relationship between avoided cost of diesel and renewable generation it should be close in the long term as </w:t>
      </w:r>
      <w:r>
        <w:rPr>
          <w:color w:val="000000"/>
          <w:sz w:val="24"/>
          <w:szCs w:val="24"/>
        </w:rPr>
        <w:lastRenderedPageBreak/>
        <w:t>suggested by QEC. None of the public submissions suggested otherwise, howeve</w:t>
      </w:r>
      <w:r w:rsidR="00FE7A8A">
        <w:rPr>
          <w:color w:val="000000"/>
          <w:sz w:val="24"/>
          <w:szCs w:val="24"/>
        </w:rPr>
        <w:t>r</w:t>
      </w:r>
      <w:r>
        <w:rPr>
          <w:color w:val="000000"/>
          <w:sz w:val="24"/>
          <w:szCs w:val="24"/>
        </w:rPr>
        <w:t xml:space="preserve"> most suggested that it should not form the sole basis for the CIPP price. </w:t>
      </w:r>
    </w:p>
    <w:p w14:paraId="69FEA429" w14:textId="77777777" w:rsidR="003D56E8" w:rsidRDefault="00AA767F">
      <w:pPr>
        <w:numPr>
          <w:ilvl w:val="2"/>
          <w:numId w:val="4"/>
        </w:numPr>
        <w:pBdr>
          <w:top w:val="nil"/>
          <w:left w:val="nil"/>
          <w:bottom w:val="nil"/>
          <w:right w:val="nil"/>
          <w:between w:val="nil"/>
        </w:pBdr>
        <w:tabs>
          <w:tab w:val="left" w:pos="885"/>
        </w:tabs>
        <w:spacing w:line="360" w:lineRule="auto"/>
        <w:ind w:right="117"/>
        <w:jc w:val="both"/>
        <w:rPr>
          <w:color w:val="000000"/>
          <w:sz w:val="24"/>
          <w:szCs w:val="24"/>
        </w:rPr>
      </w:pPr>
      <w:r>
        <w:rPr>
          <w:color w:val="000000"/>
          <w:sz w:val="24"/>
          <w:szCs w:val="24"/>
        </w:rPr>
        <w:t>The URRC notes that a CIPP price based solely on the avoided cost of fuel (i.e. not considering the other aspects of the CIPP pricing structure and program) may not result in increased costs for other QEC customers. However, it is less clear if it will be sufficient on its own to provide the necessary incentives to encourage the development of renewable generation in QEC’s service territory.</w:t>
      </w:r>
    </w:p>
    <w:p w14:paraId="68ECAD8E" w14:textId="77777777" w:rsidR="003D56E8" w:rsidRDefault="00AA767F">
      <w:pPr>
        <w:numPr>
          <w:ilvl w:val="2"/>
          <w:numId w:val="4"/>
        </w:numPr>
        <w:pBdr>
          <w:top w:val="nil"/>
          <w:left w:val="nil"/>
          <w:bottom w:val="nil"/>
          <w:right w:val="nil"/>
          <w:between w:val="nil"/>
        </w:pBdr>
        <w:tabs>
          <w:tab w:val="left" w:pos="885"/>
        </w:tabs>
        <w:spacing w:line="360" w:lineRule="auto"/>
        <w:ind w:right="117"/>
        <w:jc w:val="both"/>
        <w:rPr>
          <w:color w:val="000000"/>
          <w:sz w:val="24"/>
          <w:szCs w:val="24"/>
        </w:rPr>
      </w:pPr>
      <w:r>
        <w:rPr>
          <w:color w:val="000000"/>
          <w:sz w:val="24"/>
          <w:szCs w:val="24"/>
        </w:rPr>
        <w:t>The URRC notes that many of the public submissions included various add</w:t>
      </w:r>
      <w:r>
        <w:rPr>
          <w:sz w:val="24"/>
          <w:szCs w:val="24"/>
        </w:rPr>
        <w:t>itions</w:t>
      </w:r>
      <w:r>
        <w:rPr>
          <w:color w:val="000000"/>
          <w:sz w:val="24"/>
          <w:szCs w:val="24"/>
        </w:rPr>
        <w:t xml:space="preserve"> to the CIPP price, and suggestions that the CIPP price should not be based solely on the avoided cost of diesel, if at all. The URRC asked for more information from QEC through the IR process.</w:t>
      </w:r>
    </w:p>
    <w:p w14:paraId="5ACB19AB" w14:textId="77777777" w:rsidR="003D56E8" w:rsidRDefault="00AA767F">
      <w:pPr>
        <w:numPr>
          <w:ilvl w:val="2"/>
          <w:numId w:val="4"/>
        </w:numPr>
        <w:pBdr>
          <w:top w:val="nil"/>
          <w:left w:val="nil"/>
          <w:bottom w:val="nil"/>
          <w:right w:val="nil"/>
          <w:between w:val="nil"/>
        </w:pBdr>
        <w:tabs>
          <w:tab w:val="left" w:pos="885"/>
        </w:tabs>
        <w:spacing w:line="360" w:lineRule="auto"/>
        <w:ind w:right="117"/>
        <w:jc w:val="both"/>
        <w:rPr>
          <w:color w:val="000000"/>
          <w:sz w:val="24"/>
          <w:szCs w:val="24"/>
        </w:rPr>
      </w:pPr>
      <w:r>
        <w:rPr>
          <w:color w:val="000000"/>
          <w:sz w:val="24"/>
          <w:szCs w:val="24"/>
        </w:rPr>
        <w:t>The URRC considered the various</w:t>
      </w:r>
      <w:r>
        <w:rPr>
          <w:sz w:val="24"/>
          <w:szCs w:val="24"/>
        </w:rPr>
        <w:t xml:space="preserve"> additions</w:t>
      </w:r>
      <w:r>
        <w:rPr>
          <w:color w:val="000000"/>
          <w:sz w:val="24"/>
          <w:szCs w:val="24"/>
        </w:rPr>
        <w:t xml:space="preserve"> with the premise of not increasing rates/costs to other QEC customers. Based on that lens, it appeared to the URRC that most of the possible ad</w:t>
      </w:r>
      <w:r>
        <w:rPr>
          <w:sz w:val="24"/>
          <w:szCs w:val="24"/>
        </w:rPr>
        <w:t>ditions</w:t>
      </w:r>
      <w:r>
        <w:rPr>
          <w:color w:val="000000"/>
          <w:sz w:val="24"/>
          <w:szCs w:val="24"/>
        </w:rPr>
        <w:t xml:space="preserve"> should only be considered for adoption by QEC if QEC is either: flowing grants or contributions through to CIPP proponents or flowing through costs it is actually avoiding. The URRC agrees with QEC that it is not acceptable to include add</w:t>
      </w:r>
      <w:r>
        <w:rPr>
          <w:sz w:val="24"/>
          <w:szCs w:val="24"/>
        </w:rPr>
        <w:t>itions</w:t>
      </w:r>
      <w:r>
        <w:rPr>
          <w:color w:val="000000"/>
          <w:sz w:val="24"/>
          <w:szCs w:val="24"/>
        </w:rPr>
        <w:t xml:space="preserve"> in the CIPP price that are funded by other QEC customers especially if it will take some time for the add</w:t>
      </w:r>
      <w:r>
        <w:rPr>
          <w:sz w:val="24"/>
          <w:szCs w:val="24"/>
        </w:rPr>
        <w:t>itions</w:t>
      </w:r>
      <w:r>
        <w:rPr>
          <w:color w:val="000000"/>
          <w:sz w:val="24"/>
          <w:szCs w:val="24"/>
        </w:rPr>
        <w:t xml:space="preserve"> to be confirmed.</w:t>
      </w:r>
    </w:p>
    <w:p w14:paraId="3CA4A357" w14:textId="217AFC39" w:rsidR="003D56E8" w:rsidRDefault="00AA767F">
      <w:pPr>
        <w:numPr>
          <w:ilvl w:val="2"/>
          <w:numId w:val="4"/>
        </w:numPr>
        <w:pBdr>
          <w:top w:val="nil"/>
          <w:left w:val="nil"/>
          <w:bottom w:val="nil"/>
          <w:right w:val="nil"/>
          <w:between w:val="nil"/>
        </w:pBdr>
        <w:tabs>
          <w:tab w:val="left" w:pos="885"/>
        </w:tabs>
        <w:spacing w:line="360" w:lineRule="auto"/>
        <w:ind w:right="117"/>
        <w:jc w:val="both"/>
        <w:rPr>
          <w:color w:val="000000"/>
          <w:sz w:val="24"/>
          <w:szCs w:val="24"/>
        </w:rPr>
      </w:pPr>
      <w:r>
        <w:rPr>
          <w:color w:val="000000"/>
          <w:sz w:val="24"/>
          <w:szCs w:val="24"/>
        </w:rPr>
        <w:t xml:space="preserve">The URRC considers that avoided variable costs and deferred fixed costs should be considered for inclusion in the CIPP price at the appropriate time. The URRC notes that other jurisdictions include amounts for avoided variable costs and for deferred fixed costs. Similarly, if costs incurred by QEC in the future may be avoided through CIPP generation they should also be considered for inclusion in the CIPP price. An example would be if the cost of diesel for QEC included a carbon based tax in the future. In that case, the PPA (or CIPP price) should be flexible enough to pass on that saving to the CIPP proponent. </w:t>
      </w:r>
    </w:p>
    <w:p w14:paraId="131B21DE" w14:textId="66F2D174" w:rsidR="003D56E8" w:rsidRDefault="00AA767F">
      <w:pPr>
        <w:numPr>
          <w:ilvl w:val="2"/>
          <w:numId w:val="4"/>
        </w:numPr>
        <w:pBdr>
          <w:top w:val="nil"/>
          <w:left w:val="nil"/>
          <w:bottom w:val="nil"/>
          <w:right w:val="nil"/>
          <w:between w:val="nil"/>
        </w:pBdr>
        <w:tabs>
          <w:tab w:val="left" w:pos="885"/>
        </w:tabs>
        <w:spacing w:line="360" w:lineRule="auto"/>
        <w:ind w:right="117"/>
        <w:jc w:val="both"/>
        <w:rPr>
          <w:color w:val="000000"/>
          <w:sz w:val="24"/>
          <w:szCs w:val="24"/>
        </w:rPr>
      </w:pPr>
      <w:r>
        <w:rPr>
          <w:color w:val="000000"/>
          <w:sz w:val="24"/>
          <w:szCs w:val="24"/>
        </w:rPr>
        <w:t xml:space="preserve">The URRC also considers that grants or benefits </w:t>
      </w:r>
      <w:r w:rsidR="000F1D3F">
        <w:rPr>
          <w:color w:val="000000"/>
          <w:sz w:val="24"/>
          <w:szCs w:val="24"/>
        </w:rPr>
        <w:t xml:space="preserve">related to encouraging renewable energy </w:t>
      </w:r>
      <w:r>
        <w:rPr>
          <w:color w:val="000000"/>
          <w:sz w:val="24"/>
          <w:szCs w:val="24"/>
        </w:rPr>
        <w:t xml:space="preserve">received by QEC should be considered for inclusion in the CIPP price. </w:t>
      </w:r>
    </w:p>
    <w:p w14:paraId="12EEEC49" w14:textId="77777777" w:rsidR="003D56E8" w:rsidRDefault="00AA767F" w:rsidP="00C5623A">
      <w:pPr>
        <w:widowControl/>
        <w:numPr>
          <w:ilvl w:val="2"/>
          <w:numId w:val="4"/>
        </w:numPr>
        <w:pBdr>
          <w:top w:val="nil"/>
          <w:left w:val="nil"/>
          <w:bottom w:val="nil"/>
          <w:right w:val="nil"/>
          <w:between w:val="nil"/>
        </w:pBdr>
        <w:tabs>
          <w:tab w:val="left" w:pos="885"/>
        </w:tabs>
        <w:spacing w:line="360" w:lineRule="auto"/>
        <w:ind w:left="878" w:right="115"/>
        <w:jc w:val="both"/>
        <w:rPr>
          <w:color w:val="000000"/>
          <w:sz w:val="24"/>
          <w:szCs w:val="24"/>
        </w:rPr>
      </w:pPr>
      <w:r>
        <w:rPr>
          <w:color w:val="000000"/>
          <w:sz w:val="24"/>
          <w:szCs w:val="24"/>
        </w:rPr>
        <w:t xml:space="preserve">The URRC notes that the term, initial rate, adjustment mechanism and guaranteed minimum rate were all addressed in the public submissions. The URRC also had </w:t>
      </w:r>
      <w:r>
        <w:rPr>
          <w:color w:val="000000"/>
          <w:sz w:val="24"/>
          <w:szCs w:val="24"/>
        </w:rPr>
        <w:lastRenderedPageBreak/>
        <w:t xml:space="preserve">questions for QEC about the CIPP pricing structure. QEC provided a better explanation of its rationale for its Option 3 in the responses to IRs. </w:t>
      </w:r>
    </w:p>
    <w:p w14:paraId="72EB6D8E" w14:textId="77777777" w:rsidR="003D56E8" w:rsidRDefault="00AA767F">
      <w:pPr>
        <w:numPr>
          <w:ilvl w:val="2"/>
          <w:numId w:val="4"/>
        </w:numPr>
        <w:pBdr>
          <w:top w:val="nil"/>
          <w:left w:val="nil"/>
          <w:bottom w:val="nil"/>
          <w:right w:val="nil"/>
          <w:between w:val="nil"/>
        </w:pBdr>
        <w:tabs>
          <w:tab w:val="left" w:pos="885"/>
        </w:tabs>
        <w:spacing w:line="360" w:lineRule="auto"/>
        <w:ind w:right="117"/>
        <w:jc w:val="both"/>
        <w:rPr>
          <w:color w:val="000000"/>
          <w:sz w:val="24"/>
          <w:szCs w:val="24"/>
        </w:rPr>
      </w:pPr>
      <w:r>
        <w:rPr>
          <w:color w:val="000000"/>
          <w:sz w:val="24"/>
          <w:szCs w:val="24"/>
        </w:rPr>
        <w:t xml:space="preserve">The URRC considers that many of the suggestions for improvement could be addressed and included in the PPA. Matters like the term, renewal options, determination of the initial rate, guaranteed minimum rate, adjustment mechanism (including the escalation, de-escalation, overall cap on purchase rate increases), and regulatory review could all be clarified in the PPA. </w:t>
      </w:r>
    </w:p>
    <w:p w14:paraId="4CD6D3E6" w14:textId="0E6881C6" w:rsidR="003D56E8" w:rsidRDefault="00AA767F">
      <w:pPr>
        <w:numPr>
          <w:ilvl w:val="2"/>
          <w:numId w:val="4"/>
        </w:numPr>
        <w:pBdr>
          <w:top w:val="nil"/>
          <w:left w:val="nil"/>
          <w:bottom w:val="nil"/>
          <w:right w:val="nil"/>
          <w:between w:val="nil"/>
        </w:pBdr>
        <w:tabs>
          <w:tab w:val="left" w:pos="885"/>
        </w:tabs>
        <w:spacing w:line="360" w:lineRule="auto"/>
        <w:ind w:right="117"/>
        <w:jc w:val="both"/>
        <w:rPr>
          <w:color w:val="000000"/>
          <w:sz w:val="24"/>
          <w:szCs w:val="24"/>
        </w:rPr>
      </w:pPr>
      <w:r>
        <w:rPr>
          <w:color w:val="000000"/>
          <w:sz w:val="24"/>
          <w:szCs w:val="24"/>
        </w:rPr>
        <w:t>The URRC considers that there is merit in a PPA term that could extend beyond 25</w:t>
      </w:r>
      <w:r w:rsidR="007027B4">
        <w:rPr>
          <w:color w:val="000000"/>
          <w:sz w:val="24"/>
          <w:szCs w:val="24"/>
        </w:rPr>
        <w:t> </w:t>
      </w:r>
      <w:r>
        <w:rPr>
          <w:color w:val="000000"/>
          <w:sz w:val="24"/>
          <w:szCs w:val="24"/>
        </w:rPr>
        <w:t>years with renewal options, or have off</w:t>
      </w:r>
      <w:r w:rsidR="0074451A">
        <w:rPr>
          <w:color w:val="000000"/>
          <w:sz w:val="24"/>
          <w:szCs w:val="24"/>
        </w:rPr>
        <w:t>-</w:t>
      </w:r>
      <w:r>
        <w:rPr>
          <w:color w:val="000000"/>
          <w:sz w:val="24"/>
          <w:szCs w:val="24"/>
        </w:rPr>
        <w:t xml:space="preserve">ramps for QEC and the CIPP proponent. </w:t>
      </w:r>
    </w:p>
    <w:p w14:paraId="688C0D5F" w14:textId="77777777" w:rsidR="003D56E8" w:rsidRDefault="00AA767F">
      <w:pPr>
        <w:numPr>
          <w:ilvl w:val="2"/>
          <w:numId w:val="4"/>
        </w:numPr>
        <w:pBdr>
          <w:top w:val="nil"/>
          <w:left w:val="nil"/>
          <w:bottom w:val="nil"/>
          <w:right w:val="nil"/>
          <w:between w:val="nil"/>
        </w:pBdr>
        <w:tabs>
          <w:tab w:val="left" w:pos="885"/>
        </w:tabs>
        <w:spacing w:line="360" w:lineRule="auto"/>
        <w:ind w:right="117"/>
        <w:jc w:val="both"/>
        <w:rPr>
          <w:color w:val="000000"/>
          <w:sz w:val="24"/>
          <w:szCs w:val="24"/>
        </w:rPr>
      </w:pPr>
      <w:r>
        <w:rPr>
          <w:color w:val="000000"/>
          <w:sz w:val="24"/>
          <w:szCs w:val="24"/>
        </w:rPr>
        <w:t>The URRC considers that the initial rate based on a 3-year historical territorial average as applied for seems reasonable.</w:t>
      </w:r>
    </w:p>
    <w:p w14:paraId="5FE9E826" w14:textId="07931110" w:rsidR="003D56E8" w:rsidRDefault="00AA767F">
      <w:pPr>
        <w:numPr>
          <w:ilvl w:val="2"/>
          <w:numId w:val="4"/>
        </w:numPr>
        <w:pBdr>
          <w:top w:val="nil"/>
          <w:left w:val="nil"/>
          <w:bottom w:val="nil"/>
          <w:right w:val="nil"/>
          <w:between w:val="nil"/>
        </w:pBdr>
        <w:tabs>
          <w:tab w:val="left" w:pos="885"/>
        </w:tabs>
        <w:spacing w:line="360" w:lineRule="auto"/>
        <w:ind w:right="117"/>
        <w:jc w:val="both"/>
        <w:rPr>
          <w:color w:val="000000"/>
          <w:sz w:val="24"/>
          <w:szCs w:val="24"/>
        </w:rPr>
      </w:pPr>
      <w:r>
        <w:rPr>
          <w:color w:val="000000"/>
          <w:sz w:val="24"/>
          <w:szCs w:val="24"/>
        </w:rPr>
        <w:t xml:space="preserve">The URRC notes suggestions that a guaranteed minimum rate is required, and similarly that the adjustment mechanism should be symmetrical, without a cap on increases. QEC elaborated on its rationale in the IR responses. However, the URRC questions whether the minimum rate should be ‘guaranteed’ by other QEC customers. Any decrease in fuel prices below the initial rate would transfer risk to other QEC customers. Similarly, the URRC questions why price increases/decreases should not be symmetrical, with no limits up or down. The URRC believes that if diesel costs are avoided they should be reflected in the CIPP price. Further, the adjustment mechanism should be frequent enough (e.g. annually) so that increases/decreases to the price are made in a timely way. The URRC does not agree that it should be tied to a GRA, which may or may not occur every 4 years. The URRC considers that if the adjustment mechanism is well documented, and clear enough, it may be made ‘routinely’ and without significant regulatory effort (or perhaps none).  </w:t>
      </w:r>
    </w:p>
    <w:p w14:paraId="2B7BF690" w14:textId="77777777" w:rsidR="003D56E8" w:rsidRDefault="00AA767F">
      <w:pPr>
        <w:numPr>
          <w:ilvl w:val="2"/>
          <w:numId w:val="4"/>
        </w:numPr>
        <w:pBdr>
          <w:top w:val="nil"/>
          <w:left w:val="nil"/>
          <w:bottom w:val="nil"/>
          <w:right w:val="nil"/>
          <w:between w:val="nil"/>
        </w:pBdr>
        <w:tabs>
          <w:tab w:val="left" w:pos="885"/>
        </w:tabs>
        <w:spacing w:line="360" w:lineRule="auto"/>
        <w:ind w:right="117"/>
        <w:jc w:val="both"/>
        <w:rPr>
          <w:color w:val="000000"/>
          <w:sz w:val="24"/>
          <w:szCs w:val="24"/>
        </w:rPr>
      </w:pPr>
      <w:r>
        <w:rPr>
          <w:color w:val="000000"/>
          <w:sz w:val="24"/>
          <w:szCs w:val="24"/>
        </w:rPr>
        <w:t>The URRC also notes suggestions that the ‘annual’ recalculation of the CIPP price based on ‘either one of the above options’ is not the best method, particularly when it only occurs every 4 years instead of annually.</w:t>
      </w:r>
    </w:p>
    <w:p w14:paraId="4DAEB659" w14:textId="5A474672" w:rsidR="003D56E8" w:rsidRDefault="00AA767F">
      <w:pPr>
        <w:numPr>
          <w:ilvl w:val="2"/>
          <w:numId w:val="4"/>
        </w:numPr>
        <w:pBdr>
          <w:top w:val="nil"/>
          <w:left w:val="nil"/>
          <w:bottom w:val="nil"/>
          <w:right w:val="nil"/>
          <w:between w:val="nil"/>
        </w:pBdr>
        <w:tabs>
          <w:tab w:val="left" w:pos="885"/>
        </w:tabs>
        <w:spacing w:line="360" w:lineRule="auto"/>
        <w:ind w:right="117"/>
        <w:jc w:val="both"/>
        <w:rPr>
          <w:color w:val="000000"/>
          <w:sz w:val="24"/>
          <w:szCs w:val="24"/>
        </w:rPr>
      </w:pPr>
      <w:r>
        <w:rPr>
          <w:color w:val="000000"/>
          <w:sz w:val="24"/>
          <w:szCs w:val="24"/>
        </w:rPr>
        <w:t>The URRC has reservations about the CIPP pricing structure and whether or not it meets the premise of the Application submitted by QEC. Some, but not all, aspects of the CIPP price protect QEC customers from increased costs/</w:t>
      </w:r>
      <w:proofErr w:type="gramStart"/>
      <w:r>
        <w:rPr>
          <w:color w:val="000000"/>
          <w:sz w:val="24"/>
          <w:szCs w:val="24"/>
        </w:rPr>
        <w:t>rates,</w:t>
      </w:r>
      <w:proofErr w:type="gramEnd"/>
      <w:r>
        <w:rPr>
          <w:color w:val="000000"/>
          <w:sz w:val="24"/>
          <w:szCs w:val="24"/>
        </w:rPr>
        <w:t xml:space="preserve"> however other aspects of the CIPP price limit incentives for proponents. The URRC notes </w:t>
      </w:r>
      <w:r>
        <w:rPr>
          <w:color w:val="000000"/>
          <w:sz w:val="24"/>
          <w:szCs w:val="24"/>
        </w:rPr>
        <w:lastRenderedPageBreak/>
        <w:t xml:space="preserve">submissions from QEC and the public that the business case for potential </w:t>
      </w:r>
      <w:r w:rsidR="00F512C9">
        <w:rPr>
          <w:color w:val="000000"/>
          <w:sz w:val="24"/>
          <w:szCs w:val="24"/>
        </w:rPr>
        <w:t xml:space="preserve">CIPP projects may rely heavily </w:t>
      </w:r>
      <w:r>
        <w:rPr>
          <w:color w:val="000000"/>
          <w:sz w:val="24"/>
          <w:szCs w:val="24"/>
        </w:rPr>
        <w:t>on incentives not currently reflected in the CIPP price. The URRC agrees with QEC and does not consider that these incentives should be funded by other QEC customers. Perhaps ‘new’ incentives provided by the GN or others for renewable generation, in addition to those currently available from Federal programs could be flowed through QEC and on to CIPP proponents.</w:t>
      </w:r>
    </w:p>
    <w:p w14:paraId="42964B79" w14:textId="77777777" w:rsidR="003D56E8" w:rsidRPr="00A928FC" w:rsidRDefault="003D56E8">
      <w:pPr>
        <w:pBdr>
          <w:top w:val="nil"/>
          <w:left w:val="nil"/>
          <w:bottom w:val="nil"/>
          <w:right w:val="nil"/>
          <w:between w:val="nil"/>
        </w:pBdr>
        <w:rPr>
          <w:color w:val="000000"/>
          <w:sz w:val="24"/>
          <w:szCs w:val="24"/>
        </w:rPr>
      </w:pPr>
    </w:p>
    <w:p w14:paraId="1ADA4451" w14:textId="77777777" w:rsidR="003D56E8" w:rsidRDefault="00AA767F" w:rsidP="00FD4CC3">
      <w:pPr>
        <w:pStyle w:val="URRCHeading2"/>
      </w:pPr>
      <w:bookmarkStart w:id="29" w:name="bookmark=id.44sinio" w:colFirst="0" w:colLast="0"/>
      <w:bookmarkStart w:id="30" w:name="_heading=h.2jxsxqh" w:colFirst="0" w:colLast="0"/>
      <w:bookmarkStart w:id="31" w:name="_Toc52808123"/>
      <w:bookmarkEnd w:id="29"/>
      <w:bookmarkEnd w:id="30"/>
      <w:r>
        <w:t>CIPP PROGRAM</w:t>
      </w:r>
      <w:bookmarkEnd w:id="31"/>
    </w:p>
    <w:p w14:paraId="427B855B" w14:textId="77777777" w:rsidR="003D56E8" w:rsidRPr="00A928FC" w:rsidRDefault="003D56E8">
      <w:pPr>
        <w:pBdr>
          <w:top w:val="nil"/>
          <w:left w:val="nil"/>
          <w:bottom w:val="nil"/>
          <w:right w:val="nil"/>
          <w:between w:val="nil"/>
        </w:pBdr>
        <w:spacing w:before="8"/>
        <w:rPr>
          <w:color w:val="000000"/>
          <w:sz w:val="24"/>
          <w:szCs w:val="24"/>
        </w:rPr>
      </w:pPr>
    </w:p>
    <w:p w14:paraId="17B7DB2A" w14:textId="0564A262" w:rsidR="003D56E8" w:rsidRDefault="00AA767F">
      <w:pPr>
        <w:numPr>
          <w:ilvl w:val="2"/>
          <w:numId w:val="4"/>
        </w:numPr>
        <w:pBdr>
          <w:top w:val="nil"/>
          <w:left w:val="nil"/>
          <w:bottom w:val="nil"/>
          <w:right w:val="nil"/>
          <w:between w:val="nil"/>
        </w:pBdr>
        <w:tabs>
          <w:tab w:val="left" w:pos="885"/>
        </w:tabs>
        <w:spacing w:line="360" w:lineRule="auto"/>
        <w:ind w:right="117"/>
        <w:jc w:val="both"/>
        <w:rPr>
          <w:color w:val="000000"/>
          <w:sz w:val="35"/>
          <w:szCs w:val="35"/>
        </w:rPr>
      </w:pPr>
      <w:r>
        <w:rPr>
          <w:color w:val="000000"/>
          <w:sz w:val="24"/>
          <w:szCs w:val="24"/>
        </w:rPr>
        <w:t xml:space="preserve">The URRC notes that QEC has not asked for approval of its CIPP program except for the pricing structure. The URRC notes that many of the public submissions provided feedback about matters that would be considered as part of the CIPP program and how it relates to net-metering and the IPP program that QEC is also working on. The URRC also had many similar questions. The URRC notes that QEC was responsive in the IR process and provided useful information in its responses to fill in some of the picture that is not covered by the pricing structure alone. Although some submissions suggested a </w:t>
      </w:r>
      <w:r w:rsidR="00AC7BA1">
        <w:rPr>
          <w:color w:val="000000"/>
          <w:sz w:val="24"/>
          <w:szCs w:val="24"/>
        </w:rPr>
        <w:t>‘</w:t>
      </w:r>
      <w:r>
        <w:rPr>
          <w:color w:val="000000"/>
          <w:sz w:val="24"/>
          <w:szCs w:val="24"/>
        </w:rPr>
        <w:t>net metering</w:t>
      </w:r>
      <w:r w:rsidR="00AC7BA1">
        <w:rPr>
          <w:color w:val="000000"/>
          <w:sz w:val="24"/>
          <w:szCs w:val="24"/>
        </w:rPr>
        <w:t>’</w:t>
      </w:r>
      <w:r>
        <w:rPr>
          <w:color w:val="000000"/>
          <w:sz w:val="24"/>
          <w:szCs w:val="24"/>
        </w:rPr>
        <w:t xml:space="preserve"> model, the URRC notes that such a model would result in increased costs to QEC</w:t>
      </w:r>
      <w:r w:rsidR="0074451A">
        <w:rPr>
          <w:color w:val="000000"/>
          <w:sz w:val="24"/>
          <w:szCs w:val="24"/>
        </w:rPr>
        <w:t>’</w:t>
      </w:r>
      <w:r>
        <w:rPr>
          <w:color w:val="000000"/>
          <w:sz w:val="24"/>
          <w:szCs w:val="24"/>
        </w:rPr>
        <w:t>s load customers.</w:t>
      </w:r>
    </w:p>
    <w:p w14:paraId="035F8B57" w14:textId="6572C587" w:rsidR="003D56E8" w:rsidRDefault="00AA767F">
      <w:pPr>
        <w:numPr>
          <w:ilvl w:val="2"/>
          <w:numId w:val="4"/>
        </w:numPr>
        <w:pBdr>
          <w:top w:val="nil"/>
          <w:left w:val="nil"/>
          <w:bottom w:val="nil"/>
          <w:right w:val="nil"/>
          <w:between w:val="nil"/>
        </w:pBdr>
        <w:tabs>
          <w:tab w:val="left" w:pos="885"/>
        </w:tabs>
        <w:spacing w:line="360" w:lineRule="auto"/>
        <w:ind w:right="117"/>
        <w:jc w:val="both"/>
        <w:rPr>
          <w:color w:val="000000"/>
          <w:sz w:val="35"/>
          <w:szCs w:val="35"/>
        </w:rPr>
      </w:pPr>
      <w:r>
        <w:rPr>
          <w:color w:val="000000"/>
          <w:sz w:val="24"/>
          <w:szCs w:val="24"/>
        </w:rPr>
        <w:t xml:space="preserve">The URRC and others noted that the Application did not include a definition of renewable generation, how CIPP ‘meshed’ with net-metering and IPP, details about the PPA or </w:t>
      </w:r>
      <w:r w:rsidR="003C658C">
        <w:rPr>
          <w:color w:val="000000"/>
          <w:sz w:val="24"/>
          <w:szCs w:val="24"/>
        </w:rPr>
        <w:t>technical interconnection requirements (</w:t>
      </w:r>
      <w:r>
        <w:rPr>
          <w:color w:val="000000"/>
          <w:sz w:val="24"/>
          <w:szCs w:val="24"/>
        </w:rPr>
        <w:t>TIR</w:t>
      </w:r>
      <w:r w:rsidR="003C658C">
        <w:rPr>
          <w:color w:val="000000"/>
          <w:sz w:val="24"/>
          <w:szCs w:val="24"/>
        </w:rPr>
        <w:t>)</w:t>
      </w:r>
      <w:r>
        <w:rPr>
          <w:color w:val="000000"/>
          <w:sz w:val="24"/>
          <w:szCs w:val="24"/>
        </w:rPr>
        <w:t>, limits on the introduction of renewable generation and how much of that limit could be filled by CIPP, as well as numerous other concerns.</w:t>
      </w:r>
    </w:p>
    <w:p w14:paraId="03713B1C" w14:textId="43FA1DD8" w:rsidR="003D56E8" w:rsidRPr="00A928FC" w:rsidRDefault="00AA767F">
      <w:pPr>
        <w:numPr>
          <w:ilvl w:val="2"/>
          <w:numId w:val="4"/>
        </w:numPr>
        <w:pBdr>
          <w:top w:val="nil"/>
          <w:left w:val="nil"/>
          <w:bottom w:val="nil"/>
          <w:right w:val="nil"/>
          <w:between w:val="nil"/>
        </w:pBdr>
        <w:tabs>
          <w:tab w:val="left" w:pos="885"/>
        </w:tabs>
        <w:spacing w:line="360" w:lineRule="auto"/>
        <w:ind w:right="117"/>
        <w:jc w:val="both"/>
        <w:rPr>
          <w:color w:val="000000"/>
          <w:sz w:val="24"/>
          <w:szCs w:val="24"/>
        </w:rPr>
      </w:pPr>
      <w:r>
        <w:rPr>
          <w:color w:val="000000"/>
          <w:sz w:val="24"/>
          <w:szCs w:val="24"/>
        </w:rPr>
        <w:t>The URRC asked QEC about its plans to ‘finalize’ the CIPP program and its plans for future regulatory approvals (such as amendments to rates, terms and conditions of service and other aspects of CIPP that could be material for QEC and its customers, all of which will form inte</w:t>
      </w:r>
      <w:r>
        <w:rPr>
          <w:sz w:val="24"/>
          <w:szCs w:val="24"/>
        </w:rPr>
        <w:t xml:space="preserve">gral </w:t>
      </w:r>
      <w:r>
        <w:rPr>
          <w:color w:val="000000"/>
          <w:sz w:val="24"/>
          <w:szCs w:val="24"/>
        </w:rPr>
        <w:t xml:space="preserve">parts of the CIPP </w:t>
      </w:r>
      <w:r>
        <w:rPr>
          <w:sz w:val="24"/>
          <w:szCs w:val="24"/>
        </w:rPr>
        <w:t>program and which should be subjected to review and approval</w:t>
      </w:r>
      <w:r>
        <w:rPr>
          <w:color w:val="000000"/>
          <w:sz w:val="24"/>
          <w:szCs w:val="24"/>
        </w:rPr>
        <w:t xml:space="preserve">). </w:t>
      </w:r>
      <w:r w:rsidR="003D236F">
        <w:rPr>
          <w:color w:val="000000"/>
          <w:sz w:val="24"/>
          <w:szCs w:val="24"/>
        </w:rPr>
        <w:t xml:space="preserve">The URRC considers that the CIPP program, in its entirety, is essentially a tariff. </w:t>
      </w:r>
      <w:r>
        <w:rPr>
          <w:color w:val="000000"/>
          <w:sz w:val="24"/>
          <w:szCs w:val="24"/>
        </w:rPr>
        <w:t xml:space="preserve">QEC provided some clarification in its responses to IRs. </w:t>
      </w:r>
      <w:r>
        <w:rPr>
          <w:sz w:val="24"/>
          <w:szCs w:val="24"/>
        </w:rPr>
        <w:t>T</w:t>
      </w:r>
      <w:r>
        <w:rPr>
          <w:color w:val="000000"/>
          <w:sz w:val="24"/>
          <w:szCs w:val="24"/>
        </w:rPr>
        <w:t xml:space="preserve">he URRC notes that many aspects of the CIPP program that have not been applied for may be material to the URRC’s understanding of the impacts of CIPP in relation to the overall premise submitted by QEC. Furthermore, the URRC has concerns about the </w:t>
      </w:r>
      <w:r>
        <w:rPr>
          <w:color w:val="000000"/>
          <w:sz w:val="24"/>
          <w:szCs w:val="24"/>
        </w:rPr>
        <w:lastRenderedPageBreak/>
        <w:t>prospects for success of the CIPP program, based solely on the Application that was submitted. It appears that most of those who made public submissions also questioned the potential for success of the CIPP program (based on the pricing structure and the other unknown aspects of the program).</w:t>
      </w:r>
    </w:p>
    <w:p w14:paraId="29F564FC" w14:textId="5A873733" w:rsidR="003D56E8" w:rsidRDefault="00AA767F" w:rsidP="00A928FC">
      <w:pPr>
        <w:numPr>
          <w:ilvl w:val="2"/>
          <w:numId w:val="4"/>
        </w:numPr>
        <w:pBdr>
          <w:top w:val="nil"/>
          <w:left w:val="nil"/>
          <w:bottom w:val="nil"/>
          <w:right w:val="nil"/>
          <w:between w:val="nil"/>
        </w:pBdr>
        <w:tabs>
          <w:tab w:val="left" w:pos="885"/>
        </w:tabs>
        <w:spacing w:before="120" w:line="360" w:lineRule="auto"/>
        <w:ind w:left="878" w:right="115"/>
        <w:jc w:val="both"/>
        <w:rPr>
          <w:color w:val="000000"/>
          <w:sz w:val="35"/>
          <w:szCs w:val="35"/>
        </w:rPr>
      </w:pPr>
      <w:r>
        <w:rPr>
          <w:color w:val="000000"/>
          <w:sz w:val="24"/>
          <w:szCs w:val="24"/>
        </w:rPr>
        <w:t>The URRC notes that the CIPP and IPP programs are under development by QEC. It appears for example that the PPA and TIR documents may be close to finalization. Similarly, it appears that based on responses to IRs, QEC may be close to finalizing other aspects of the CIPP program. Furthermore, there appears to be some interest in the CIPP program, as evidenced by the expressions of interest to date. The URRC does not have a view of the anticipated timing or likelihood or any of those projects proceeding. The URRC does not have enough information to know how QEC’s planned roll out of the CIPP program aligns with the plans by those planning renewable projects in Nunavut.</w:t>
      </w:r>
    </w:p>
    <w:p w14:paraId="462FD9C9" w14:textId="77777777" w:rsidR="003D56E8" w:rsidRDefault="00AA767F">
      <w:pPr>
        <w:numPr>
          <w:ilvl w:val="2"/>
          <w:numId w:val="4"/>
        </w:numPr>
        <w:pBdr>
          <w:top w:val="nil"/>
          <w:left w:val="nil"/>
          <w:bottom w:val="nil"/>
          <w:right w:val="nil"/>
          <w:between w:val="nil"/>
        </w:pBdr>
        <w:tabs>
          <w:tab w:val="left" w:pos="885"/>
        </w:tabs>
        <w:spacing w:line="360" w:lineRule="auto"/>
        <w:ind w:right="117"/>
        <w:rPr>
          <w:sz w:val="24"/>
          <w:szCs w:val="24"/>
        </w:rPr>
        <w:sectPr w:rsidR="003D56E8">
          <w:pgSz w:w="12240" w:h="15840"/>
          <w:pgMar w:top="1411" w:right="1310" w:bottom="1138" w:left="1310" w:header="720" w:footer="720" w:gutter="0"/>
          <w:cols w:space="720" w:equalWidth="0">
            <w:col w:w="9360"/>
          </w:cols>
        </w:sectPr>
      </w:pPr>
      <w:r>
        <w:rPr>
          <w:color w:val="000000"/>
          <w:sz w:val="24"/>
          <w:szCs w:val="24"/>
        </w:rPr>
        <w:t xml:space="preserve">Further, the URRC does not have enough information to know whether or not a potential CIPP proponent would proceed with a project based solely on approval of the CIPP pricing structure that was applied for by QEC.  </w:t>
      </w:r>
    </w:p>
    <w:p w14:paraId="78D31C8F" w14:textId="77777777" w:rsidR="00A928FC" w:rsidRDefault="00A928FC" w:rsidP="00A928FC">
      <w:bookmarkStart w:id="32" w:name="bookmark=id.z337ya" w:colFirst="0" w:colLast="0"/>
      <w:bookmarkStart w:id="33" w:name="_heading=h.3j2qqm3" w:colFirst="0" w:colLast="0"/>
      <w:bookmarkEnd w:id="32"/>
      <w:bookmarkEnd w:id="33"/>
    </w:p>
    <w:p w14:paraId="34C2BD60" w14:textId="43DC631D" w:rsidR="003D56E8" w:rsidRDefault="00AA767F" w:rsidP="00FD4CC3">
      <w:pPr>
        <w:pStyle w:val="URRCHeading1"/>
      </w:pPr>
      <w:bookmarkStart w:id="34" w:name="_Toc52808124"/>
      <w:r>
        <w:t>URRC RECOMMENDATION</w:t>
      </w:r>
      <w:bookmarkEnd w:id="34"/>
    </w:p>
    <w:p w14:paraId="2DE7DF0C" w14:textId="77777777" w:rsidR="003D56E8" w:rsidRDefault="003D56E8" w:rsidP="00A928FC">
      <w:pPr>
        <w:tabs>
          <w:tab w:val="left" w:pos="819"/>
        </w:tabs>
        <w:ind w:left="101"/>
        <w:rPr>
          <w:b/>
          <w:sz w:val="24"/>
          <w:szCs w:val="24"/>
        </w:rPr>
      </w:pPr>
    </w:p>
    <w:p w14:paraId="33649AAA" w14:textId="77777777" w:rsidR="003D56E8" w:rsidRDefault="00AA767F" w:rsidP="00A876E8">
      <w:pPr>
        <w:widowControl/>
        <w:numPr>
          <w:ilvl w:val="2"/>
          <w:numId w:val="4"/>
        </w:numPr>
        <w:pBdr>
          <w:top w:val="nil"/>
          <w:left w:val="nil"/>
          <w:bottom w:val="nil"/>
          <w:right w:val="nil"/>
          <w:between w:val="nil"/>
        </w:pBdr>
        <w:tabs>
          <w:tab w:val="left" w:pos="885"/>
        </w:tabs>
        <w:spacing w:line="360" w:lineRule="auto"/>
        <w:ind w:left="878"/>
        <w:jc w:val="both"/>
        <w:rPr>
          <w:color w:val="000000"/>
          <w:sz w:val="24"/>
          <w:szCs w:val="24"/>
        </w:rPr>
      </w:pPr>
      <w:r>
        <w:rPr>
          <w:color w:val="000000"/>
          <w:sz w:val="24"/>
          <w:szCs w:val="24"/>
        </w:rPr>
        <w:t>Having considered the foregoing matters, the URRC recommends that the Minister direct QEC as follows:</w:t>
      </w:r>
    </w:p>
    <w:p w14:paraId="358E344A" w14:textId="77777777" w:rsidR="003D56E8" w:rsidRDefault="00AA767F" w:rsidP="00A876E8">
      <w:pPr>
        <w:numPr>
          <w:ilvl w:val="0"/>
          <w:numId w:val="6"/>
        </w:numPr>
        <w:pBdr>
          <w:top w:val="nil"/>
          <w:left w:val="nil"/>
          <w:bottom w:val="nil"/>
          <w:right w:val="nil"/>
          <w:between w:val="nil"/>
        </w:pBdr>
        <w:tabs>
          <w:tab w:val="left" w:pos="1540"/>
        </w:tabs>
        <w:spacing w:before="60" w:line="360" w:lineRule="auto"/>
        <w:ind w:left="1541" w:right="115"/>
        <w:jc w:val="both"/>
        <w:rPr>
          <w:color w:val="000000"/>
          <w:sz w:val="24"/>
          <w:szCs w:val="24"/>
        </w:rPr>
      </w:pPr>
      <w:r>
        <w:rPr>
          <w:color w:val="000000"/>
          <w:sz w:val="24"/>
          <w:szCs w:val="24"/>
        </w:rPr>
        <w:t>That the application for approval of Option 3 as described in the Application and information responses be denied at this time.</w:t>
      </w:r>
    </w:p>
    <w:p w14:paraId="2B78CE21" w14:textId="1E3C3D16" w:rsidR="003D56E8" w:rsidRDefault="00AA767F" w:rsidP="00A876E8">
      <w:pPr>
        <w:numPr>
          <w:ilvl w:val="0"/>
          <w:numId w:val="6"/>
        </w:numPr>
        <w:pBdr>
          <w:top w:val="nil"/>
          <w:left w:val="nil"/>
          <w:bottom w:val="nil"/>
          <w:right w:val="nil"/>
          <w:between w:val="nil"/>
        </w:pBdr>
        <w:tabs>
          <w:tab w:val="left" w:pos="1540"/>
        </w:tabs>
        <w:spacing w:before="60" w:line="360" w:lineRule="auto"/>
        <w:ind w:left="1541" w:right="115"/>
        <w:jc w:val="both"/>
        <w:rPr>
          <w:color w:val="000000"/>
          <w:sz w:val="24"/>
          <w:szCs w:val="24"/>
        </w:rPr>
      </w:pPr>
      <w:r>
        <w:rPr>
          <w:color w:val="000000"/>
          <w:sz w:val="24"/>
          <w:szCs w:val="24"/>
        </w:rPr>
        <w:t xml:space="preserve">That QEC should directly engage with </w:t>
      </w:r>
      <w:r>
        <w:rPr>
          <w:sz w:val="24"/>
          <w:szCs w:val="24"/>
        </w:rPr>
        <w:t xml:space="preserve">stakeholders </w:t>
      </w:r>
      <w:r>
        <w:rPr>
          <w:color w:val="000000"/>
          <w:sz w:val="24"/>
          <w:szCs w:val="24"/>
        </w:rPr>
        <w:t xml:space="preserve">in its supply chain to identify any other potential avoided costs related to the introduction of renewable energy </w:t>
      </w:r>
      <w:r w:rsidR="00071DC1">
        <w:rPr>
          <w:color w:val="000000"/>
          <w:sz w:val="24"/>
          <w:szCs w:val="24"/>
        </w:rPr>
        <w:t>generation</w:t>
      </w:r>
      <w:r>
        <w:rPr>
          <w:color w:val="000000"/>
          <w:sz w:val="24"/>
          <w:szCs w:val="24"/>
        </w:rPr>
        <w:t>.</w:t>
      </w:r>
    </w:p>
    <w:p w14:paraId="54889A42" w14:textId="63C7E21F" w:rsidR="003D56E8" w:rsidRDefault="00AA767F" w:rsidP="00A876E8">
      <w:pPr>
        <w:numPr>
          <w:ilvl w:val="0"/>
          <w:numId w:val="6"/>
        </w:numPr>
        <w:pBdr>
          <w:top w:val="nil"/>
          <w:left w:val="nil"/>
          <w:bottom w:val="nil"/>
          <w:right w:val="nil"/>
          <w:between w:val="nil"/>
        </w:pBdr>
        <w:tabs>
          <w:tab w:val="left" w:pos="1540"/>
        </w:tabs>
        <w:spacing w:before="60" w:line="360" w:lineRule="auto"/>
        <w:ind w:left="1541" w:right="115"/>
        <w:jc w:val="both"/>
        <w:rPr>
          <w:color w:val="000000"/>
          <w:sz w:val="24"/>
          <w:szCs w:val="24"/>
        </w:rPr>
      </w:pPr>
      <w:r>
        <w:rPr>
          <w:color w:val="000000"/>
          <w:sz w:val="24"/>
          <w:szCs w:val="24"/>
        </w:rPr>
        <w:t>That QEC should directly engage with other government departments and private organizations that are currently developing or are currently actively planning for the development and installation of commercial</w:t>
      </w:r>
      <w:r w:rsidR="00241EC3">
        <w:rPr>
          <w:color w:val="000000"/>
          <w:sz w:val="24"/>
          <w:szCs w:val="24"/>
        </w:rPr>
        <w:t>-</w:t>
      </w:r>
      <w:r>
        <w:rPr>
          <w:color w:val="000000"/>
          <w:sz w:val="24"/>
          <w:szCs w:val="24"/>
        </w:rPr>
        <w:t xml:space="preserve">scale renewable energy generation systems in Nunavut in order to better understand the </w:t>
      </w:r>
      <w:r>
        <w:rPr>
          <w:sz w:val="24"/>
          <w:szCs w:val="24"/>
        </w:rPr>
        <w:t>financial requirements of those projects.</w:t>
      </w:r>
    </w:p>
    <w:p w14:paraId="1792C0C1" w14:textId="3D03B97F" w:rsidR="003D56E8" w:rsidRDefault="00AA767F" w:rsidP="00A876E8">
      <w:pPr>
        <w:numPr>
          <w:ilvl w:val="0"/>
          <w:numId w:val="6"/>
        </w:numPr>
        <w:pBdr>
          <w:top w:val="nil"/>
          <w:left w:val="nil"/>
          <w:bottom w:val="nil"/>
          <w:right w:val="nil"/>
          <w:between w:val="nil"/>
        </w:pBdr>
        <w:tabs>
          <w:tab w:val="left" w:pos="1540"/>
        </w:tabs>
        <w:spacing w:before="60" w:line="360" w:lineRule="auto"/>
        <w:ind w:left="1541" w:right="115"/>
        <w:jc w:val="both"/>
        <w:rPr>
          <w:color w:val="000000"/>
          <w:sz w:val="24"/>
          <w:szCs w:val="24"/>
        </w:rPr>
      </w:pPr>
      <w:r>
        <w:rPr>
          <w:color w:val="000000"/>
          <w:sz w:val="24"/>
          <w:szCs w:val="24"/>
        </w:rPr>
        <w:t xml:space="preserve">That QEC should address the many concerns expressed in this </w:t>
      </w:r>
      <w:r w:rsidR="00AC7BA1">
        <w:rPr>
          <w:color w:val="000000"/>
          <w:sz w:val="24"/>
          <w:szCs w:val="24"/>
        </w:rPr>
        <w:t>R</w:t>
      </w:r>
      <w:r>
        <w:rPr>
          <w:color w:val="000000"/>
          <w:sz w:val="24"/>
          <w:szCs w:val="24"/>
        </w:rPr>
        <w:t xml:space="preserve">eport about its pricing structure in any new CIPP </w:t>
      </w:r>
      <w:r w:rsidR="00AA7180">
        <w:rPr>
          <w:color w:val="000000"/>
          <w:sz w:val="24"/>
          <w:szCs w:val="24"/>
        </w:rPr>
        <w:t>A</w:t>
      </w:r>
      <w:r>
        <w:rPr>
          <w:color w:val="000000"/>
          <w:sz w:val="24"/>
          <w:szCs w:val="24"/>
        </w:rPr>
        <w:t>pplication.</w:t>
      </w:r>
    </w:p>
    <w:p w14:paraId="73F9595E" w14:textId="77777777" w:rsidR="003D56E8" w:rsidRDefault="00AA767F" w:rsidP="00A876E8">
      <w:pPr>
        <w:numPr>
          <w:ilvl w:val="0"/>
          <w:numId w:val="6"/>
        </w:numPr>
        <w:pBdr>
          <w:top w:val="nil"/>
          <w:left w:val="nil"/>
          <w:bottom w:val="nil"/>
          <w:right w:val="nil"/>
          <w:between w:val="nil"/>
        </w:pBdr>
        <w:tabs>
          <w:tab w:val="left" w:pos="1540"/>
        </w:tabs>
        <w:spacing w:before="60" w:line="360" w:lineRule="auto"/>
        <w:ind w:left="1541" w:right="115"/>
        <w:jc w:val="both"/>
        <w:rPr>
          <w:color w:val="000000"/>
          <w:sz w:val="24"/>
          <w:szCs w:val="24"/>
        </w:rPr>
      </w:pPr>
      <w:r>
        <w:rPr>
          <w:color w:val="000000"/>
          <w:sz w:val="24"/>
          <w:szCs w:val="24"/>
        </w:rPr>
        <w:t>That QEC should reapply for approval of the CIPP program in its entirety when all aspects of the program are ready for approval, perhaps when the IPP is also ready to be submitted.</w:t>
      </w:r>
    </w:p>
    <w:p w14:paraId="3FE66043" w14:textId="58CCD155" w:rsidR="003D56E8" w:rsidRPr="00A876E8" w:rsidRDefault="00AA767F" w:rsidP="00A876E8">
      <w:pPr>
        <w:numPr>
          <w:ilvl w:val="0"/>
          <w:numId w:val="6"/>
        </w:numPr>
        <w:pBdr>
          <w:top w:val="nil"/>
          <w:left w:val="nil"/>
          <w:bottom w:val="nil"/>
          <w:right w:val="nil"/>
          <w:between w:val="nil"/>
        </w:pBdr>
        <w:tabs>
          <w:tab w:val="left" w:pos="1540"/>
        </w:tabs>
        <w:spacing w:before="60" w:line="360" w:lineRule="auto"/>
        <w:ind w:left="1541" w:right="115"/>
        <w:jc w:val="both"/>
        <w:rPr>
          <w:sz w:val="24"/>
          <w:szCs w:val="24"/>
        </w:rPr>
      </w:pPr>
      <w:r>
        <w:rPr>
          <w:color w:val="000000"/>
          <w:sz w:val="24"/>
          <w:szCs w:val="24"/>
        </w:rPr>
        <w:t xml:space="preserve">That if any new grants, benefits, incentives, or cost savings </w:t>
      </w:r>
      <w:r w:rsidR="000F1D3F">
        <w:rPr>
          <w:color w:val="000000"/>
          <w:sz w:val="24"/>
          <w:szCs w:val="24"/>
        </w:rPr>
        <w:t xml:space="preserve">related to renewable energy </w:t>
      </w:r>
      <w:r>
        <w:rPr>
          <w:color w:val="000000"/>
          <w:sz w:val="24"/>
          <w:szCs w:val="24"/>
        </w:rPr>
        <w:t xml:space="preserve">are identified by the GN or elsewhere, they should be made available to QEC so that they may be flowed through to CIPP </w:t>
      </w:r>
      <w:r>
        <w:rPr>
          <w:sz w:val="24"/>
          <w:szCs w:val="24"/>
        </w:rPr>
        <w:t>proponents</w:t>
      </w:r>
      <w:r>
        <w:rPr>
          <w:color w:val="000000"/>
          <w:sz w:val="24"/>
          <w:szCs w:val="24"/>
        </w:rPr>
        <w:t xml:space="preserve"> in the CIPP price.</w:t>
      </w:r>
    </w:p>
    <w:p w14:paraId="4ACEC26B" w14:textId="77777777" w:rsidR="00A876E8" w:rsidRDefault="00A876E8" w:rsidP="00A876E8">
      <w:pPr>
        <w:pBdr>
          <w:top w:val="nil"/>
          <w:left w:val="nil"/>
          <w:bottom w:val="nil"/>
          <w:right w:val="nil"/>
          <w:between w:val="nil"/>
        </w:pBdr>
        <w:tabs>
          <w:tab w:val="left" w:pos="1540"/>
        </w:tabs>
        <w:spacing w:before="60" w:line="360" w:lineRule="auto"/>
        <w:ind w:left="1181" w:right="115"/>
        <w:jc w:val="both"/>
        <w:rPr>
          <w:sz w:val="24"/>
          <w:szCs w:val="24"/>
        </w:rPr>
      </w:pPr>
    </w:p>
    <w:p w14:paraId="3873F097" w14:textId="5EA012A6" w:rsidR="003D56E8" w:rsidRDefault="00AA767F" w:rsidP="00A876E8">
      <w:pPr>
        <w:keepNext/>
        <w:keepLines/>
        <w:widowControl/>
        <w:numPr>
          <w:ilvl w:val="2"/>
          <w:numId w:val="4"/>
        </w:numPr>
        <w:pBdr>
          <w:top w:val="nil"/>
          <w:left w:val="nil"/>
          <w:bottom w:val="nil"/>
          <w:right w:val="nil"/>
          <w:between w:val="nil"/>
        </w:pBdr>
        <w:tabs>
          <w:tab w:val="left" w:pos="885"/>
        </w:tabs>
        <w:spacing w:line="360" w:lineRule="auto"/>
        <w:ind w:left="878" w:right="115"/>
        <w:jc w:val="both"/>
        <w:rPr>
          <w:color w:val="000000"/>
          <w:sz w:val="24"/>
          <w:szCs w:val="24"/>
        </w:rPr>
      </w:pPr>
      <w:r>
        <w:rPr>
          <w:color w:val="000000"/>
          <w:sz w:val="24"/>
          <w:szCs w:val="24"/>
        </w:rPr>
        <w:lastRenderedPageBreak/>
        <w:t xml:space="preserve">Nothing in this </w:t>
      </w:r>
      <w:r w:rsidR="00AC7BA1">
        <w:rPr>
          <w:color w:val="000000"/>
          <w:sz w:val="24"/>
          <w:szCs w:val="24"/>
        </w:rPr>
        <w:t>R</w:t>
      </w:r>
      <w:r>
        <w:rPr>
          <w:color w:val="000000"/>
          <w:sz w:val="24"/>
          <w:szCs w:val="24"/>
        </w:rPr>
        <w:t>eport shall prejudice the URRC in its consideration of any other matters respecting QEC.</w:t>
      </w:r>
    </w:p>
    <w:p w14:paraId="52E1B03D" w14:textId="77777777" w:rsidR="003D56E8" w:rsidRDefault="003D56E8" w:rsidP="00A876E8">
      <w:pPr>
        <w:keepNext/>
        <w:keepLines/>
        <w:widowControl/>
        <w:pBdr>
          <w:top w:val="nil"/>
          <w:left w:val="nil"/>
          <w:bottom w:val="nil"/>
          <w:right w:val="nil"/>
          <w:between w:val="nil"/>
        </w:pBdr>
        <w:rPr>
          <w:color w:val="000000"/>
          <w:sz w:val="26"/>
          <w:szCs w:val="26"/>
        </w:rPr>
      </w:pPr>
    </w:p>
    <w:p w14:paraId="3931988B" w14:textId="77777777" w:rsidR="003D56E8" w:rsidRDefault="00AA767F" w:rsidP="00A876E8">
      <w:pPr>
        <w:pStyle w:val="Heading1"/>
        <w:keepNext/>
        <w:keepLines/>
        <w:widowControl/>
        <w:ind w:firstLine="515"/>
      </w:pPr>
      <w:r>
        <w:t>ON BEHALF OF THE</w:t>
      </w:r>
    </w:p>
    <w:p w14:paraId="5FFC8952" w14:textId="77777777" w:rsidR="003D56E8" w:rsidRDefault="003D56E8" w:rsidP="00A876E8">
      <w:pPr>
        <w:keepNext/>
        <w:keepLines/>
        <w:widowControl/>
        <w:pBdr>
          <w:top w:val="nil"/>
          <w:left w:val="nil"/>
          <w:bottom w:val="nil"/>
          <w:right w:val="nil"/>
          <w:between w:val="nil"/>
        </w:pBdr>
        <w:rPr>
          <w:b/>
          <w:color w:val="000000"/>
        </w:rPr>
      </w:pPr>
    </w:p>
    <w:p w14:paraId="762D0ADE" w14:textId="77777777" w:rsidR="003D56E8" w:rsidRDefault="00AA767F" w:rsidP="00A876E8">
      <w:pPr>
        <w:keepNext/>
        <w:keepLines/>
        <w:widowControl/>
        <w:ind w:left="2980"/>
        <w:rPr>
          <w:b/>
          <w:sz w:val="24"/>
          <w:szCs w:val="24"/>
        </w:rPr>
      </w:pPr>
      <w:r>
        <w:rPr>
          <w:b/>
          <w:sz w:val="24"/>
          <w:szCs w:val="24"/>
        </w:rPr>
        <w:t>UTILITY RATES REVIEW COUNCIL OF NUNAVUT</w:t>
      </w:r>
      <w:r>
        <w:rPr>
          <w:noProof/>
        </w:rPr>
        <mc:AlternateContent>
          <mc:Choice Requires="wps">
            <w:drawing>
              <wp:anchor distT="0" distB="0" distL="0" distR="0" simplePos="0" relativeHeight="251659264" behindDoc="0" locked="0" layoutInCell="1" hidden="0" allowOverlap="1" wp14:anchorId="59CF49E1" wp14:editId="00521E39">
                <wp:simplePos x="0" y="0"/>
                <wp:positionH relativeFrom="column">
                  <wp:posOffset>5283200</wp:posOffset>
                </wp:positionH>
                <wp:positionV relativeFrom="paragraph">
                  <wp:posOffset>1765300</wp:posOffset>
                </wp:positionV>
                <wp:extent cx="22225" cy="22225"/>
                <wp:effectExtent l="0" t="0" r="0" b="0"/>
                <wp:wrapTopAndBottom distT="0" distB="0"/>
                <wp:docPr id="19" name="Straight Arrow Connector 19"/>
                <wp:cNvGraphicFramePr/>
                <a:graphic xmlns:a="http://schemas.openxmlformats.org/drawingml/2006/main">
                  <a:graphicData uri="http://schemas.microsoft.com/office/word/2010/wordprocessingShape">
                    <wps:wsp>
                      <wps:cNvCnPr/>
                      <wps:spPr>
                        <a:xfrm>
                          <a:off x="5339650" y="3773650"/>
                          <a:ext cx="12700" cy="1270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817EF47" id="Straight Arrow Connector 19" o:spid="_x0000_s1026" type="#_x0000_t32" style="position:absolute;margin-left:416pt;margin-top:139pt;width:1.75pt;height:1.75pt;z-index:251659264;visibility:visible;mso-wrap-style:square;mso-wrap-distance-left:0;mso-wrap-distance-top:0;mso-wrap-distance-right:0;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">
                <w10:wrap type="topAndBottom"/>
              </v:shape>
            </w:pict>
          </mc:Fallback>
        </mc:AlternateContent>
      </w:r>
    </w:p>
    <w:p w14:paraId="3906DF0F" w14:textId="77777777" w:rsidR="003D56E8" w:rsidRDefault="003D56E8" w:rsidP="00A876E8">
      <w:pPr>
        <w:keepNext/>
        <w:keepLines/>
        <w:widowControl/>
        <w:pBdr>
          <w:top w:val="nil"/>
          <w:left w:val="nil"/>
          <w:bottom w:val="nil"/>
          <w:right w:val="nil"/>
          <w:between w:val="nil"/>
        </w:pBdr>
        <w:spacing w:before="9"/>
        <w:rPr>
          <w:b/>
          <w:color w:val="000000"/>
        </w:rPr>
      </w:pPr>
    </w:p>
    <w:p w14:paraId="57A81864" w14:textId="77777777" w:rsidR="003D56E8" w:rsidRDefault="00AA767F" w:rsidP="00A876E8">
      <w:pPr>
        <w:keepNext/>
        <w:keepLines/>
        <w:widowControl/>
        <w:pBdr>
          <w:top w:val="nil"/>
          <w:left w:val="nil"/>
          <w:bottom w:val="nil"/>
          <w:right w:val="nil"/>
          <w:between w:val="nil"/>
        </w:pBdr>
        <w:spacing w:before="9"/>
        <w:jc w:val="right"/>
        <w:rPr>
          <w:b/>
          <w:color w:val="000000"/>
        </w:rPr>
      </w:pPr>
      <w:r>
        <w:rPr>
          <w:b/>
          <w:noProof/>
          <w:color w:val="000000"/>
          <w:u w:val="single"/>
        </w:rPr>
        <w:drawing>
          <wp:inline distT="0" distB="0" distL="0" distR="0" wp14:anchorId="695E303E" wp14:editId="0E176FA7">
            <wp:extent cx="3329896" cy="1199819"/>
            <wp:effectExtent l="0" t="0" r="0" b="635"/>
            <wp:docPr id="2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7"/>
                    <a:srcRect/>
                    <a:stretch>
                      <a:fillRect/>
                    </a:stretch>
                  </pic:blipFill>
                  <pic:spPr>
                    <a:xfrm>
                      <a:off x="0" y="0"/>
                      <a:ext cx="3348837" cy="1206644"/>
                    </a:xfrm>
                    <a:prstGeom prst="rect">
                      <a:avLst/>
                    </a:prstGeom>
                    <a:ln/>
                  </pic:spPr>
                </pic:pic>
              </a:graphicData>
            </a:graphic>
          </wp:inline>
        </w:drawing>
      </w:r>
    </w:p>
    <w:p w14:paraId="66BC9B47" w14:textId="62988003" w:rsidR="003D56E8" w:rsidRDefault="00AA767F" w:rsidP="00A876E8">
      <w:pPr>
        <w:keepNext/>
        <w:keepLines/>
        <w:widowControl/>
        <w:spacing w:before="137" w:line="360" w:lineRule="auto"/>
        <w:ind w:left="4419" w:right="508"/>
        <w:jc w:val="right"/>
        <w:rPr>
          <w:b/>
          <w:sz w:val="24"/>
          <w:szCs w:val="24"/>
        </w:rPr>
      </w:pPr>
      <w:r>
        <w:rPr>
          <w:b/>
          <w:sz w:val="24"/>
          <w:szCs w:val="24"/>
        </w:rPr>
        <w:t xml:space="preserve">DATED: </w:t>
      </w:r>
      <w:r w:rsidRPr="00961C99">
        <w:rPr>
          <w:b/>
          <w:sz w:val="24"/>
          <w:szCs w:val="24"/>
        </w:rPr>
        <w:t xml:space="preserve">October </w:t>
      </w:r>
      <w:r w:rsidR="00FD38B2">
        <w:rPr>
          <w:b/>
          <w:sz w:val="24"/>
          <w:szCs w:val="24"/>
        </w:rPr>
        <w:t>6</w:t>
      </w:r>
      <w:r w:rsidRPr="00961C99">
        <w:rPr>
          <w:b/>
          <w:sz w:val="24"/>
          <w:szCs w:val="24"/>
        </w:rPr>
        <w:t>,</w:t>
      </w:r>
      <w:r>
        <w:rPr>
          <w:b/>
          <w:sz w:val="24"/>
          <w:szCs w:val="24"/>
        </w:rPr>
        <w:t xml:space="preserve"> 2020 </w:t>
      </w:r>
    </w:p>
    <w:p w14:paraId="6C9DE2A9" w14:textId="77777777" w:rsidR="003D56E8" w:rsidRDefault="00AA767F" w:rsidP="00A876E8">
      <w:pPr>
        <w:keepNext/>
        <w:keepLines/>
        <w:widowControl/>
        <w:spacing w:before="137" w:line="360" w:lineRule="auto"/>
        <w:ind w:left="4419" w:right="508"/>
        <w:jc w:val="right"/>
        <w:rPr>
          <w:b/>
          <w:sz w:val="24"/>
          <w:szCs w:val="24"/>
        </w:rPr>
      </w:pPr>
      <w:r>
        <w:rPr>
          <w:b/>
          <w:sz w:val="24"/>
          <w:szCs w:val="24"/>
        </w:rPr>
        <w:t>Anthony Rose</w:t>
      </w:r>
    </w:p>
    <w:p w14:paraId="000D4E81" w14:textId="77777777" w:rsidR="003D56E8" w:rsidRDefault="00AA767F" w:rsidP="00A876E8">
      <w:pPr>
        <w:keepNext/>
        <w:keepLines/>
        <w:widowControl/>
        <w:ind w:left="1672" w:right="508"/>
        <w:jc w:val="right"/>
        <w:rPr>
          <w:b/>
          <w:sz w:val="24"/>
          <w:szCs w:val="24"/>
        </w:rPr>
      </w:pPr>
      <w:r>
        <w:rPr>
          <w:b/>
          <w:sz w:val="24"/>
          <w:szCs w:val="24"/>
        </w:rPr>
        <w:t>Chair Utility Rates Review Council</w:t>
      </w:r>
    </w:p>
    <w:sectPr w:rsidR="003D56E8" w:rsidSect="00A876E8">
      <w:pgSz w:w="12240" w:h="15840"/>
      <w:pgMar w:top="1720" w:right="1420" w:bottom="940" w:left="1200" w:header="1528" w:footer="741" w:gutter="0"/>
      <w:cols w:space="720" w:equalWidth="0">
        <w:col w:w="9360"/>
      </w:cols>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21E792" w16cex:dateUtc="2020-10-02T23:53:00Z"/>
  <w16cex:commentExtensible w16cex:durableId="2321E970" w16cex:dateUtc="2020-10-03T00:01: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2409D5" w14:textId="77777777" w:rsidR="00F33ED5" w:rsidRDefault="00F33ED5">
      <w:r>
        <w:separator/>
      </w:r>
    </w:p>
  </w:endnote>
  <w:endnote w:type="continuationSeparator" w:id="0">
    <w:p w14:paraId="5AB1739F" w14:textId="77777777" w:rsidR="00F33ED5" w:rsidRDefault="00F33E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832972" w14:textId="77777777" w:rsidR="00796F0C" w:rsidRDefault="00796F0C">
    <w:pPr>
      <w:pBdr>
        <w:top w:val="nil"/>
        <w:left w:val="nil"/>
        <w:bottom w:val="nil"/>
        <w:right w:val="nil"/>
        <w:between w:val="nil"/>
      </w:pBdr>
      <w:tabs>
        <w:tab w:val="center" w:pos="4680"/>
        <w:tab w:val="right" w:pos="9360"/>
      </w:tabs>
      <w:jc w:val="right"/>
      <w:rPr>
        <w:color w:val="000000"/>
        <w:sz w:val="20"/>
        <w:szCs w:val="20"/>
      </w:rPr>
    </w:pPr>
    <w:r>
      <w:rPr>
        <w:color w:val="000000"/>
        <w:sz w:val="20"/>
        <w:szCs w:val="20"/>
      </w:rPr>
      <w:t xml:space="preserve">Page </w:t>
    </w:r>
    <w:r>
      <w:rPr>
        <w:color w:val="000000"/>
        <w:sz w:val="20"/>
        <w:szCs w:val="20"/>
      </w:rPr>
      <w:fldChar w:fldCharType="begin"/>
    </w:r>
    <w:r>
      <w:rPr>
        <w:color w:val="000000"/>
        <w:sz w:val="20"/>
        <w:szCs w:val="20"/>
      </w:rPr>
      <w:instrText>PAGE</w:instrText>
    </w:r>
    <w:r>
      <w:rPr>
        <w:color w:val="000000"/>
        <w:sz w:val="20"/>
        <w:szCs w:val="20"/>
      </w:rPr>
      <w:fldChar w:fldCharType="separate"/>
    </w:r>
    <w:r w:rsidR="00FA260F">
      <w:rPr>
        <w:noProof/>
        <w:color w:val="000000"/>
        <w:sz w:val="20"/>
        <w:szCs w:val="20"/>
      </w:rPr>
      <w:t>16</w:t>
    </w:r>
    <w:r>
      <w:rPr>
        <w:color w:val="000000"/>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CB1A10" w14:textId="77777777" w:rsidR="00F33ED5" w:rsidRDefault="00F33ED5">
      <w:r>
        <w:separator/>
      </w:r>
    </w:p>
  </w:footnote>
  <w:footnote w:type="continuationSeparator" w:id="0">
    <w:p w14:paraId="369666A2" w14:textId="77777777" w:rsidR="00F33ED5" w:rsidRDefault="00F33ED5">
      <w:r>
        <w:continuationSeparator/>
      </w:r>
    </w:p>
  </w:footnote>
  <w:footnote w:id="1">
    <w:p w14:paraId="2E93A4AF" w14:textId="14FC6CBF" w:rsidR="00796F0C" w:rsidRDefault="00796F0C" w:rsidP="00FE0A0C">
      <w:pPr>
        <w:pBdr>
          <w:top w:val="nil"/>
          <w:left w:val="nil"/>
          <w:bottom w:val="nil"/>
          <w:right w:val="nil"/>
          <w:between w:val="nil"/>
        </w:pBdr>
        <w:ind w:left="360" w:hanging="360"/>
        <w:rPr>
          <w:color w:val="000000"/>
          <w:sz w:val="20"/>
          <w:szCs w:val="20"/>
        </w:rPr>
      </w:pPr>
      <w:r w:rsidRPr="00C5623A">
        <w:rPr>
          <w:rStyle w:val="FootnoteReference"/>
          <w:b/>
        </w:rPr>
        <w:footnoteRef/>
      </w:r>
      <w:r w:rsidR="00FE0A0C">
        <w:rPr>
          <w:color w:val="000000"/>
          <w:sz w:val="20"/>
          <w:szCs w:val="20"/>
        </w:rPr>
        <w:tab/>
      </w:r>
      <w:r>
        <w:rPr>
          <w:color w:val="000000"/>
          <w:sz w:val="20"/>
          <w:szCs w:val="20"/>
        </w:rPr>
        <w:t>QEC response to Information Request URRC-QEC-3(d), dated June 29, 2020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CFED60" w14:textId="77777777" w:rsidR="00796F0C" w:rsidRDefault="00796F0C">
    <w:pPr>
      <w:pBdr>
        <w:top w:val="nil"/>
        <w:left w:val="nil"/>
        <w:bottom w:val="nil"/>
        <w:right w:val="nil"/>
        <w:between w:val="nil"/>
      </w:pBdr>
      <w:spacing w:line="14" w:lineRule="auto"/>
      <w:rPr>
        <w:color w:val="000000"/>
        <w:sz w:val="20"/>
        <w:szCs w:val="20"/>
      </w:rPr>
    </w:pPr>
    <w:r>
      <w:rPr>
        <w:noProof/>
        <w:color w:val="000000"/>
        <w:sz w:val="24"/>
        <w:szCs w:val="24"/>
      </w:rPr>
      <mc:AlternateContent>
        <mc:Choice Requires="wps">
          <w:drawing>
            <wp:anchor distT="0" distB="0" distL="0" distR="0" simplePos="0" relativeHeight="251657216" behindDoc="0" locked="0" layoutInCell="1" hidden="0" allowOverlap="1" wp14:anchorId="7375D070" wp14:editId="472B7997">
              <wp:simplePos x="0" y="0"/>
              <wp:positionH relativeFrom="page">
                <wp:posOffset>884238</wp:posOffset>
              </wp:positionH>
              <wp:positionV relativeFrom="page">
                <wp:posOffset>1070293</wp:posOffset>
              </wp:positionV>
              <wp:extent cx="5989955" cy="22225"/>
              <wp:effectExtent l="0" t="0" r="0" b="0"/>
              <wp:wrapSquare wrapText="bothSides" distT="0" distB="0" distL="0" distR="0"/>
              <wp:docPr id="17" name="Straight Arrow Connector 17"/>
              <wp:cNvGraphicFramePr/>
              <a:graphic xmlns:a="http://schemas.openxmlformats.org/drawingml/2006/main">
                <a:graphicData uri="http://schemas.microsoft.com/office/word/2010/wordprocessingShape">
                  <wps:wsp>
                    <wps:cNvCnPr/>
                    <wps:spPr>
                      <a:xfrm>
                        <a:off x="0" y="0"/>
                        <a:ext cx="5989955" cy="22225"/>
                      </a:xfrm>
                      <a:prstGeom prst="straightConnector1">
                        <a:avLst/>
                      </a:prstGeom>
                      <a:noFill/>
                      <a:ln w="9525" cap="flat" cmpd="sng">
                        <a:solidFill>
                          <a:srgbClr val="DBDBDB"/>
                        </a:solidFill>
                        <a:prstDash val="solid"/>
                        <a:round/>
                        <a:headEnd type="none" w="med" len="med"/>
                        <a:tailEnd type="none" w="med" len="med"/>
                      </a:ln>
                    </wps:spPr>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F868CED" id="_x0000_t32" coordsize="21600,21600" o:spt="32" o:oned="t" path="m,l21600,21600e" filled="f">
              <v:path arrowok="t" fillok="f" o:connecttype="none"/>
              <o:lock v:ext="edit" shapetype="t"/>
            </v:shapetype>
            <v:shape id="Straight Arrow Connector 17" o:spid="_x0000_s1026" type="#_x0000_t32" style="position:absolute;margin-left:69.65pt;margin-top:84.3pt;width:471.65pt;height:1.75pt;z-index:251657216;visibility:visible;mso-wrap-style:square;mso-wrap-distance-left:0;mso-wrap-distance-top:0;mso-wrap-distance-right:0;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" strokecolor="#dbdbdb">
              <w10:wrap type="square"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F643E"/>
    <w:multiLevelType w:val="multilevel"/>
    <w:tmpl w:val="B1300A8E"/>
    <w:lvl w:ilvl="0">
      <w:start w:val="2"/>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8280" w:hanging="1800"/>
      </w:pPr>
      <w:rPr>
        <w:rFonts w:hint="default"/>
      </w:rPr>
    </w:lvl>
  </w:abstractNum>
  <w:abstractNum w:abstractNumId="1">
    <w:nsid w:val="18A52E96"/>
    <w:multiLevelType w:val="multilevel"/>
    <w:tmpl w:val="E932AC30"/>
    <w:lvl w:ilvl="0">
      <w:start w:val="1"/>
      <w:numFmt w:val="decimal"/>
      <w:lvlText w:val="%1"/>
      <w:lvlJc w:val="left"/>
      <w:pPr>
        <w:ind w:left="819" w:hanging="720"/>
      </w:pPr>
    </w:lvl>
    <w:lvl w:ilvl="1">
      <w:start w:val="1"/>
      <w:numFmt w:val="decimal"/>
      <w:lvlText w:val="%1.%2"/>
      <w:lvlJc w:val="left"/>
      <w:pPr>
        <w:ind w:left="819" w:hanging="720"/>
      </w:pPr>
      <w:rPr>
        <w:rFonts w:ascii="Times New Roman" w:eastAsia="Times New Roman" w:hAnsi="Times New Roman" w:cs="Times New Roman"/>
        <w:b/>
        <w:sz w:val="28"/>
        <w:szCs w:val="28"/>
      </w:rPr>
    </w:lvl>
    <w:lvl w:ilvl="2">
      <w:start w:val="1"/>
      <w:numFmt w:val="decimal"/>
      <w:lvlText w:val="%3."/>
      <w:lvlJc w:val="left"/>
      <w:pPr>
        <w:ind w:left="884" w:hanging="360"/>
      </w:pPr>
      <w:rPr>
        <w:rFonts w:ascii="Times New Roman" w:eastAsia="Times New Roman" w:hAnsi="Times New Roman" w:cs="Times New Roman"/>
        <w:sz w:val="24"/>
        <w:szCs w:val="24"/>
      </w:rPr>
    </w:lvl>
    <w:lvl w:ilvl="3">
      <w:start w:val="1"/>
      <w:numFmt w:val="lowerLetter"/>
      <w:lvlText w:val="%4."/>
      <w:lvlJc w:val="left"/>
      <w:pPr>
        <w:ind w:left="1540" w:hanging="276"/>
      </w:pPr>
      <w:rPr>
        <w:rFonts w:ascii="Times New Roman" w:eastAsia="Times New Roman" w:hAnsi="Times New Roman" w:cs="Times New Roman"/>
        <w:sz w:val="24"/>
        <w:szCs w:val="24"/>
      </w:rPr>
    </w:lvl>
    <w:lvl w:ilvl="4">
      <w:start w:val="1"/>
      <w:numFmt w:val="bullet"/>
      <w:lvlText w:val="•"/>
      <w:lvlJc w:val="left"/>
      <w:pPr>
        <w:ind w:left="3550" w:hanging="276"/>
      </w:pPr>
    </w:lvl>
    <w:lvl w:ilvl="5">
      <w:start w:val="1"/>
      <w:numFmt w:val="bullet"/>
      <w:lvlText w:val="•"/>
      <w:lvlJc w:val="left"/>
      <w:pPr>
        <w:ind w:left="4555" w:hanging="276"/>
      </w:pPr>
    </w:lvl>
    <w:lvl w:ilvl="6">
      <w:start w:val="1"/>
      <w:numFmt w:val="bullet"/>
      <w:lvlText w:val="•"/>
      <w:lvlJc w:val="left"/>
      <w:pPr>
        <w:ind w:left="5560" w:hanging="276"/>
      </w:pPr>
    </w:lvl>
    <w:lvl w:ilvl="7">
      <w:start w:val="1"/>
      <w:numFmt w:val="bullet"/>
      <w:lvlText w:val="•"/>
      <w:lvlJc w:val="left"/>
      <w:pPr>
        <w:ind w:left="6565" w:hanging="276"/>
      </w:pPr>
    </w:lvl>
    <w:lvl w:ilvl="8">
      <w:start w:val="1"/>
      <w:numFmt w:val="bullet"/>
      <w:lvlText w:val="•"/>
      <w:lvlJc w:val="left"/>
      <w:pPr>
        <w:ind w:left="7570" w:hanging="276"/>
      </w:pPr>
    </w:lvl>
  </w:abstractNum>
  <w:abstractNum w:abstractNumId="2">
    <w:nsid w:val="22572817"/>
    <w:multiLevelType w:val="multilevel"/>
    <w:tmpl w:val="12FA4EB8"/>
    <w:styleLink w:val="URRCList"/>
    <w:lvl w:ilvl="0">
      <w:start w:val="1"/>
      <w:numFmt w:val="decimal"/>
      <w:pStyle w:val="URRCHeading1"/>
      <w:lvlText w:val="%1.0"/>
      <w:lvlJc w:val="left"/>
      <w:pPr>
        <w:ind w:left="936" w:hanging="936"/>
      </w:pPr>
      <w:rPr>
        <w:rFonts w:ascii="Times New Roman Bold" w:hAnsi="Times New Roman Bold" w:hint="default"/>
        <w:b/>
        <w:i w:val="0"/>
        <w:sz w:val="24"/>
      </w:rPr>
    </w:lvl>
    <w:lvl w:ilvl="1">
      <w:start w:val="1"/>
      <w:numFmt w:val="decimal"/>
      <w:pStyle w:val="URRCHeading2"/>
      <w:lvlText w:val="%1.%2"/>
      <w:lvlJc w:val="left"/>
      <w:pPr>
        <w:ind w:left="936" w:hanging="936"/>
      </w:pPr>
      <w:rPr>
        <w:rFonts w:ascii="Times New Roman Bold" w:hAnsi="Times New Roman Bold" w:hint="default"/>
        <w:b/>
        <w:i w:val="0"/>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29AD1542"/>
    <w:multiLevelType w:val="multilevel"/>
    <w:tmpl w:val="12FA4EB8"/>
    <w:numStyleLink w:val="URRCList"/>
  </w:abstractNum>
  <w:abstractNum w:abstractNumId="4">
    <w:nsid w:val="2CB67E9A"/>
    <w:multiLevelType w:val="multilevel"/>
    <w:tmpl w:val="4EE4FDD2"/>
    <w:lvl w:ilvl="0">
      <w:start w:val="5"/>
      <w:numFmt w:val="decimal"/>
      <w:lvlText w:val="%1"/>
      <w:lvlJc w:val="left"/>
      <w:pPr>
        <w:ind w:left="819" w:hanging="720"/>
      </w:pPr>
    </w:lvl>
    <w:lvl w:ilvl="1">
      <w:start w:val="5"/>
      <w:numFmt w:val="decimal"/>
      <w:lvlText w:val="%1.%2"/>
      <w:lvlJc w:val="left"/>
      <w:pPr>
        <w:ind w:left="819" w:hanging="720"/>
      </w:pPr>
      <w:rPr>
        <w:b/>
      </w:rPr>
    </w:lvl>
    <w:lvl w:ilvl="2">
      <w:start w:val="1"/>
      <w:numFmt w:val="bullet"/>
      <w:lvlText w:val="•"/>
      <w:lvlJc w:val="left"/>
      <w:pPr>
        <w:ind w:left="2572" w:hanging="720"/>
      </w:pPr>
    </w:lvl>
    <w:lvl w:ilvl="3">
      <w:start w:val="1"/>
      <w:numFmt w:val="bullet"/>
      <w:lvlText w:val="•"/>
      <w:lvlJc w:val="left"/>
      <w:pPr>
        <w:ind w:left="3448" w:hanging="720"/>
      </w:pPr>
    </w:lvl>
    <w:lvl w:ilvl="4">
      <w:start w:val="1"/>
      <w:numFmt w:val="bullet"/>
      <w:lvlText w:val="•"/>
      <w:lvlJc w:val="left"/>
      <w:pPr>
        <w:ind w:left="4324" w:hanging="720"/>
      </w:pPr>
    </w:lvl>
    <w:lvl w:ilvl="5">
      <w:start w:val="1"/>
      <w:numFmt w:val="bullet"/>
      <w:lvlText w:val="•"/>
      <w:lvlJc w:val="left"/>
      <w:pPr>
        <w:ind w:left="5200" w:hanging="720"/>
      </w:pPr>
    </w:lvl>
    <w:lvl w:ilvl="6">
      <w:start w:val="1"/>
      <w:numFmt w:val="bullet"/>
      <w:lvlText w:val="•"/>
      <w:lvlJc w:val="left"/>
      <w:pPr>
        <w:ind w:left="6076" w:hanging="720"/>
      </w:pPr>
    </w:lvl>
    <w:lvl w:ilvl="7">
      <w:start w:val="1"/>
      <w:numFmt w:val="bullet"/>
      <w:lvlText w:val="•"/>
      <w:lvlJc w:val="left"/>
      <w:pPr>
        <w:ind w:left="6952" w:hanging="720"/>
      </w:pPr>
    </w:lvl>
    <w:lvl w:ilvl="8">
      <w:start w:val="1"/>
      <w:numFmt w:val="bullet"/>
      <w:lvlText w:val="•"/>
      <w:lvlJc w:val="left"/>
      <w:pPr>
        <w:ind w:left="7828" w:hanging="720"/>
      </w:pPr>
    </w:lvl>
  </w:abstractNum>
  <w:abstractNum w:abstractNumId="5">
    <w:nsid w:val="2DD45794"/>
    <w:multiLevelType w:val="multilevel"/>
    <w:tmpl w:val="3D5452E2"/>
    <w:lvl w:ilvl="0">
      <w:start w:val="5"/>
      <w:numFmt w:val="decimal"/>
      <w:lvlText w:val="%1"/>
      <w:lvlJc w:val="left"/>
      <w:pPr>
        <w:ind w:left="819" w:hanging="720"/>
      </w:pPr>
    </w:lvl>
    <w:lvl w:ilvl="1">
      <w:start w:val="3"/>
      <w:numFmt w:val="decimal"/>
      <w:lvlText w:val="%1.%2"/>
      <w:lvlJc w:val="left"/>
      <w:pPr>
        <w:ind w:left="819" w:hanging="720"/>
      </w:pPr>
      <w:rPr>
        <w:b/>
      </w:rPr>
    </w:lvl>
    <w:lvl w:ilvl="2">
      <w:start w:val="1"/>
      <w:numFmt w:val="bullet"/>
      <w:lvlText w:val="•"/>
      <w:lvlJc w:val="left"/>
      <w:pPr>
        <w:ind w:left="2572" w:hanging="720"/>
      </w:pPr>
    </w:lvl>
    <w:lvl w:ilvl="3">
      <w:start w:val="1"/>
      <w:numFmt w:val="bullet"/>
      <w:lvlText w:val="•"/>
      <w:lvlJc w:val="left"/>
      <w:pPr>
        <w:ind w:left="3448" w:hanging="720"/>
      </w:pPr>
    </w:lvl>
    <w:lvl w:ilvl="4">
      <w:start w:val="1"/>
      <w:numFmt w:val="bullet"/>
      <w:lvlText w:val="•"/>
      <w:lvlJc w:val="left"/>
      <w:pPr>
        <w:ind w:left="4324" w:hanging="720"/>
      </w:pPr>
    </w:lvl>
    <w:lvl w:ilvl="5">
      <w:start w:val="1"/>
      <w:numFmt w:val="bullet"/>
      <w:lvlText w:val="•"/>
      <w:lvlJc w:val="left"/>
      <w:pPr>
        <w:ind w:left="5200" w:hanging="720"/>
      </w:pPr>
    </w:lvl>
    <w:lvl w:ilvl="6">
      <w:start w:val="1"/>
      <w:numFmt w:val="bullet"/>
      <w:lvlText w:val="•"/>
      <w:lvlJc w:val="left"/>
      <w:pPr>
        <w:ind w:left="6076" w:hanging="720"/>
      </w:pPr>
    </w:lvl>
    <w:lvl w:ilvl="7">
      <w:start w:val="1"/>
      <w:numFmt w:val="bullet"/>
      <w:lvlText w:val="•"/>
      <w:lvlJc w:val="left"/>
      <w:pPr>
        <w:ind w:left="6952" w:hanging="720"/>
      </w:pPr>
    </w:lvl>
    <w:lvl w:ilvl="8">
      <w:start w:val="1"/>
      <w:numFmt w:val="bullet"/>
      <w:lvlText w:val="•"/>
      <w:lvlJc w:val="left"/>
      <w:pPr>
        <w:ind w:left="7828" w:hanging="720"/>
      </w:pPr>
    </w:lvl>
  </w:abstractNum>
  <w:abstractNum w:abstractNumId="6">
    <w:nsid w:val="365053CF"/>
    <w:multiLevelType w:val="multilevel"/>
    <w:tmpl w:val="F6D85266"/>
    <w:lvl w:ilvl="0">
      <w:start w:val="4"/>
      <w:numFmt w:val="decimal"/>
      <w:lvlText w:val="%1"/>
      <w:lvlJc w:val="left"/>
      <w:pPr>
        <w:ind w:left="798" w:hanging="660"/>
      </w:pPr>
    </w:lvl>
    <w:lvl w:ilvl="1">
      <w:start w:val="1"/>
      <w:numFmt w:val="decimal"/>
      <w:lvlText w:val="%1.%2"/>
      <w:lvlJc w:val="left"/>
      <w:pPr>
        <w:ind w:left="798" w:hanging="660"/>
      </w:pPr>
      <w:rPr>
        <w:rFonts w:ascii="Times New Roman" w:eastAsia="Times New Roman" w:hAnsi="Times New Roman" w:cs="Times New Roman"/>
        <w:sz w:val="22"/>
        <w:szCs w:val="22"/>
      </w:rPr>
    </w:lvl>
    <w:lvl w:ilvl="2">
      <w:start w:val="1"/>
      <w:numFmt w:val="bullet"/>
      <w:lvlText w:val="•"/>
      <w:lvlJc w:val="left"/>
      <w:pPr>
        <w:ind w:left="2564" w:hanging="660"/>
      </w:pPr>
    </w:lvl>
    <w:lvl w:ilvl="3">
      <w:start w:val="1"/>
      <w:numFmt w:val="bullet"/>
      <w:lvlText w:val="•"/>
      <w:lvlJc w:val="left"/>
      <w:pPr>
        <w:ind w:left="3446" w:hanging="660"/>
      </w:pPr>
    </w:lvl>
    <w:lvl w:ilvl="4">
      <w:start w:val="1"/>
      <w:numFmt w:val="bullet"/>
      <w:lvlText w:val="•"/>
      <w:lvlJc w:val="left"/>
      <w:pPr>
        <w:ind w:left="4328" w:hanging="660"/>
      </w:pPr>
    </w:lvl>
    <w:lvl w:ilvl="5">
      <w:start w:val="1"/>
      <w:numFmt w:val="bullet"/>
      <w:lvlText w:val="•"/>
      <w:lvlJc w:val="left"/>
      <w:pPr>
        <w:ind w:left="5210" w:hanging="660"/>
      </w:pPr>
    </w:lvl>
    <w:lvl w:ilvl="6">
      <w:start w:val="1"/>
      <w:numFmt w:val="bullet"/>
      <w:lvlText w:val="•"/>
      <w:lvlJc w:val="left"/>
      <w:pPr>
        <w:ind w:left="6092" w:hanging="660"/>
      </w:pPr>
    </w:lvl>
    <w:lvl w:ilvl="7">
      <w:start w:val="1"/>
      <w:numFmt w:val="bullet"/>
      <w:lvlText w:val="•"/>
      <w:lvlJc w:val="left"/>
      <w:pPr>
        <w:ind w:left="6974" w:hanging="660"/>
      </w:pPr>
    </w:lvl>
    <w:lvl w:ilvl="8">
      <w:start w:val="1"/>
      <w:numFmt w:val="bullet"/>
      <w:lvlText w:val="•"/>
      <w:lvlJc w:val="left"/>
      <w:pPr>
        <w:ind w:left="7856" w:hanging="660"/>
      </w:pPr>
    </w:lvl>
  </w:abstractNum>
  <w:abstractNum w:abstractNumId="7">
    <w:nsid w:val="38402ADE"/>
    <w:multiLevelType w:val="multilevel"/>
    <w:tmpl w:val="628287EE"/>
    <w:lvl w:ilvl="0">
      <w:start w:val="5"/>
      <w:numFmt w:val="decimal"/>
      <w:lvlText w:val="%1"/>
      <w:lvlJc w:val="left"/>
      <w:pPr>
        <w:ind w:left="819" w:hanging="720"/>
      </w:pPr>
    </w:lvl>
    <w:lvl w:ilvl="1">
      <w:start w:val="1"/>
      <w:numFmt w:val="decimal"/>
      <w:lvlText w:val="%1.%2"/>
      <w:lvlJc w:val="left"/>
      <w:pPr>
        <w:ind w:left="819" w:hanging="720"/>
      </w:pPr>
      <w:rPr>
        <w:b/>
      </w:rPr>
    </w:lvl>
    <w:lvl w:ilvl="2">
      <w:start w:val="1"/>
      <w:numFmt w:val="bullet"/>
      <w:lvlText w:val="•"/>
      <w:lvlJc w:val="left"/>
      <w:pPr>
        <w:ind w:left="2572" w:hanging="720"/>
      </w:pPr>
    </w:lvl>
    <w:lvl w:ilvl="3">
      <w:start w:val="1"/>
      <w:numFmt w:val="bullet"/>
      <w:lvlText w:val="•"/>
      <w:lvlJc w:val="left"/>
      <w:pPr>
        <w:ind w:left="3448" w:hanging="720"/>
      </w:pPr>
    </w:lvl>
    <w:lvl w:ilvl="4">
      <w:start w:val="1"/>
      <w:numFmt w:val="bullet"/>
      <w:lvlText w:val="•"/>
      <w:lvlJc w:val="left"/>
      <w:pPr>
        <w:ind w:left="4324" w:hanging="720"/>
      </w:pPr>
    </w:lvl>
    <w:lvl w:ilvl="5">
      <w:start w:val="1"/>
      <w:numFmt w:val="bullet"/>
      <w:lvlText w:val="•"/>
      <w:lvlJc w:val="left"/>
      <w:pPr>
        <w:ind w:left="5200" w:hanging="720"/>
      </w:pPr>
    </w:lvl>
    <w:lvl w:ilvl="6">
      <w:start w:val="1"/>
      <w:numFmt w:val="bullet"/>
      <w:lvlText w:val="•"/>
      <w:lvlJc w:val="left"/>
      <w:pPr>
        <w:ind w:left="6076" w:hanging="720"/>
      </w:pPr>
    </w:lvl>
    <w:lvl w:ilvl="7">
      <w:start w:val="1"/>
      <w:numFmt w:val="bullet"/>
      <w:lvlText w:val="•"/>
      <w:lvlJc w:val="left"/>
      <w:pPr>
        <w:ind w:left="6952" w:hanging="720"/>
      </w:pPr>
    </w:lvl>
    <w:lvl w:ilvl="8">
      <w:start w:val="1"/>
      <w:numFmt w:val="bullet"/>
      <w:lvlText w:val="•"/>
      <w:lvlJc w:val="left"/>
      <w:pPr>
        <w:ind w:left="7828" w:hanging="720"/>
      </w:pPr>
    </w:lvl>
  </w:abstractNum>
  <w:abstractNum w:abstractNumId="8">
    <w:nsid w:val="39150B44"/>
    <w:multiLevelType w:val="hybridMultilevel"/>
    <w:tmpl w:val="D62E2060"/>
    <w:lvl w:ilvl="0" w:tplc="04090001">
      <w:start w:val="1"/>
      <w:numFmt w:val="bullet"/>
      <w:lvlText w:val=""/>
      <w:lvlJc w:val="left"/>
      <w:pPr>
        <w:ind w:left="1604" w:hanging="360"/>
      </w:pPr>
      <w:rPr>
        <w:rFonts w:ascii="Symbol" w:hAnsi="Symbol" w:hint="default"/>
      </w:rPr>
    </w:lvl>
    <w:lvl w:ilvl="1" w:tplc="04090003" w:tentative="1">
      <w:start w:val="1"/>
      <w:numFmt w:val="bullet"/>
      <w:lvlText w:val="o"/>
      <w:lvlJc w:val="left"/>
      <w:pPr>
        <w:ind w:left="2324" w:hanging="360"/>
      </w:pPr>
      <w:rPr>
        <w:rFonts w:ascii="Courier New" w:hAnsi="Courier New" w:cs="Courier New" w:hint="default"/>
      </w:rPr>
    </w:lvl>
    <w:lvl w:ilvl="2" w:tplc="04090005" w:tentative="1">
      <w:start w:val="1"/>
      <w:numFmt w:val="bullet"/>
      <w:lvlText w:val=""/>
      <w:lvlJc w:val="left"/>
      <w:pPr>
        <w:ind w:left="3044" w:hanging="360"/>
      </w:pPr>
      <w:rPr>
        <w:rFonts w:ascii="Wingdings" w:hAnsi="Wingdings" w:hint="default"/>
      </w:rPr>
    </w:lvl>
    <w:lvl w:ilvl="3" w:tplc="04090001" w:tentative="1">
      <w:start w:val="1"/>
      <w:numFmt w:val="bullet"/>
      <w:lvlText w:val=""/>
      <w:lvlJc w:val="left"/>
      <w:pPr>
        <w:ind w:left="3764" w:hanging="360"/>
      </w:pPr>
      <w:rPr>
        <w:rFonts w:ascii="Symbol" w:hAnsi="Symbol" w:hint="default"/>
      </w:rPr>
    </w:lvl>
    <w:lvl w:ilvl="4" w:tplc="04090003" w:tentative="1">
      <w:start w:val="1"/>
      <w:numFmt w:val="bullet"/>
      <w:lvlText w:val="o"/>
      <w:lvlJc w:val="left"/>
      <w:pPr>
        <w:ind w:left="4484" w:hanging="360"/>
      </w:pPr>
      <w:rPr>
        <w:rFonts w:ascii="Courier New" w:hAnsi="Courier New" w:cs="Courier New" w:hint="default"/>
      </w:rPr>
    </w:lvl>
    <w:lvl w:ilvl="5" w:tplc="04090005" w:tentative="1">
      <w:start w:val="1"/>
      <w:numFmt w:val="bullet"/>
      <w:lvlText w:val=""/>
      <w:lvlJc w:val="left"/>
      <w:pPr>
        <w:ind w:left="5204" w:hanging="360"/>
      </w:pPr>
      <w:rPr>
        <w:rFonts w:ascii="Wingdings" w:hAnsi="Wingdings" w:hint="default"/>
      </w:rPr>
    </w:lvl>
    <w:lvl w:ilvl="6" w:tplc="04090001" w:tentative="1">
      <w:start w:val="1"/>
      <w:numFmt w:val="bullet"/>
      <w:lvlText w:val=""/>
      <w:lvlJc w:val="left"/>
      <w:pPr>
        <w:ind w:left="5924" w:hanging="360"/>
      </w:pPr>
      <w:rPr>
        <w:rFonts w:ascii="Symbol" w:hAnsi="Symbol" w:hint="default"/>
      </w:rPr>
    </w:lvl>
    <w:lvl w:ilvl="7" w:tplc="04090003" w:tentative="1">
      <w:start w:val="1"/>
      <w:numFmt w:val="bullet"/>
      <w:lvlText w:val="o"/>
      <w:lvlJc w:val="left"/>
      <w:pPr>
        <w:ind w:left="6644" w:hanging="360"/>
      </w:pPr>
      <w:rPr>
        <w:rFonts w:ascii="Courier New" w:hAnsi="Courier New" w:cs="Courier New" w:hint="default"/>
      </w:rPr>
    </w:lvl>
    <w:lvl w:ilvl="8" w:tplc="04090005" w:tentative="1">
      <w:start w:val="1"/>
      <w:numFmt w:val="bullet"/>
      <w:lvlText w:val=""/>
      <w:lvlJc w:val="left"/>
      <w:pPr>
        <w:ind w:left="7364" w:hanging="360"/>
      </w:pPr>
      <w:rPr>
        <w:rFonts w:ascii="Wingdings" w:hAnsi="Wingdings" w:hint="default"/>
      </w:rPr>
    </w:lvl>
  </w:abstractNum>
  <w:abstractNum w:abstractNumId="9">
    <w:nsid w:val="3EFE5C23"/>
    <w:multiLevelType w:val="multilevel"/>
    <w:tmpl w:val="C58C23B4"/>
    <w:lvl w:ilvl="0">
      <w:start w:val="3"/>
      <w:numFmt w:val="decimal"/>
      <w:lvlText w:val="%1"/>
      <w:lvlJc w:val="left"/>
      <w:pPr>
        <w:ind w:left="798" w:hanging="660"/>
      </w:pPr>
    </w:lvl>
    <w:lvl w:ilvl="1">
      <w:start w:val="1"/>
      <w:numFmt w:val="decimal"/>
      <w:lvlText w:val="%1.%2"/>
      <w:lvlJc w:val="left"/>
      <w:pPr>
        <w:ind w:left="798" w:hanging="660"/>
      </w:pPr>
      <w:rPr>
        <w:rFonts w:ascii="Times New Roman" w:eastAsia="Times New Roman" w:hAnsi="Times New Roman" w:cs="Times New Roman"/>
        <w:sz w:val="22"/>
        <w:szCs w:val="22"/>
      </w:rPr>
    </w:lvl>
    <w:lvl w:ilvl="2">
      <w:start w:val="1"/>
      <w:numFmt w:val="bullet"/>
      <w:lvlText w:val="•"/>
      <w:lvlJc w:val="left"/>
      <w:pPr>
        <w:ind w:left="2564" w:hanging="660"/>
      </w:pPr>
    </w:lvl>
    <w:lvl w:ilvl="3">
      <w:start w:val="1"/>
      <w:numFmt w:val="bullet"/>
      <w:lvlText w:val="•"/>
      <w:lvlJc w:val="left"/>
      <w:pPr>
        <w:ind w:left="3446" w:hanging="660"/>
      </w:pPr>
    </w:lvl>
    <w:lvl w:ilvl="4">
      <w:start w:val="1"/>
      <w:numFmt w:val="bullet"/>
      <w:lvlText w:val="•"/>
      <w:lvlJc w:val="left"/>
      <w:pPr>
        <w:ind w:left="4328" w:hanging="660"/>
      </w:pPr>
    </w:lvl>
    <w:lvl w:ilvl="5">
      <w:start w:val="1"/>
      <w:numFmt w:val="bullet"/>
      <w:lvlText w:val="•"/>
      <w:lvlJc w:val="left"/>
      <w:pPr>
        <w:ind w:left="5210" w:hanging="660"/>
      </w:pPr>
    </w:lvl>
    <w:lvl w:ilvl="6">
      <w:start w:val="1"/>
      <w:numFmt w:val="bullet"/>
      <w:lvlText w:val="•"/>
      <w:lvlJc w:val="left"/>
      <w:pPr>
        <w:ind w:left="6092" w:hanging="660"/>
      </w:pPr>
    </w:lvl>
    <w:lvl w:ilvl="7">
      <w:start w:val="1"/>
      <w:numFmt w:val="bullet"/>
      <w:lvlText w:val="•"/>
      <w:lvlJc w:val="left"/>
      <w:pPr>
        <w:ind w:left="6974" w:hanging="660"/>
      </w:pPr>
    </w:lvl>
    <w:lvl w:ilvl="8">
      <w:start w:val="1"/>
      <w:numFmt w:val="bullet"/>
      <w:lvlText w:val="•"/>
      <w:lvlJc w:val="left"/>
      <w:pPr>
        <w:ind w:left="7856" w:hanging="660"/>
      </w:pPr>
    </w:lvl>
  </w:abstractNum>
  <w:abstractNum w:abstractNumId="10">
    <w:nsid w:val="79E04840"/>
    <w:multiLevelType w:val="multilevel"/>
    <w:tmpl w:val="E2C8AB10"/>
    <w:lvl w:ilvl="0">
      <w:start w:val="3"/>
      <w:numFmt w:val="decimal"/>
      <w:lvlText w:val="%1"/>
      <w:lvlJc w:val="left"/>
      <w:pPr>
        <w:ind w:left="819" w:hanging="720"/>
      </w:pPr>
    </w:lvl>
    <w:lvl w:ilvl="1">
      <w:start w:val="1"/>
      <w:numFmt w:val="decimal"/>
      <w:lvlText w:val="%1.%2"/>
      <w:lvlJc w:val="left"/>
      <w:pPr>
        <w:ind w:left="819" w:hanging="720"/>
      </w:pPr>
      <w:rPr>
        <w:b/>
      </w:rPr>
    </w:lvl>
    <w:lvl w:ilvl="2">
      <w:start w:val="1"/>
      <w:numFmt w:val="bullet"/>
      <w:lvlText w:val="•"/>
      <w:lvlJc w:val="left"/>
      <w:pPr>
        <w:ind w:left="2572" w:hanging="720"/>
      </w:pPr>
    </w:lvl>
    <w:lvl w:ilvl="3">
      <w:start w:val="1"/>
      <w:numFmt w:val="bullet"/>
      <w:lvlText w:val="•"/>
      <w:lvlJc w:val="left"/>
      <w:pPr>
        <w:ind w:left="3448" w:hanging="720"/>
      </w:pPr>
    </w:lvl>
    <w:lvl w:ilvl="4">
      <w:start w:val="1"/>
      <w:numFmt w:val="bullet"/>
      <w:lvlText w:val="•"/>
      <w:lvlJc w:val="left"/>
      <w:pPr>
        <w:ind w:left="4324" w:hanging="720"/>
      </w:pPr>
    </w:lvl>
    <w:lvl w:ilvl="5">
      <w:start w:val="1"/>
      <w:numFmt w:val="bullet"/>
      <w:lvlText w:val="•"/>
      <w:lvlJc w:val="left"/>
      <w:pPr>
        <w:ind w:left="5200" w:hanging="720"/>
      </w:pPr>
    </w:lvl>
    <w:lvl w:ilvl="6">
      <w:start w:val="1"/>
      <w:numFmt w:val="bullet"/>
      <w:lvlText w:val="•"/>
      <w:lvlJc w:val="left"/>
      <w:pPr>
        <w:ind w:left="6076" w:hanging="720"/>
      </w:pPr>
    </w:lvl>
    <w:lvl w:ilvl="7">
      <w:start w:val="1"/>
      <w:numFmt w:val="bullet"/>
      <w:lvlText w:val="•"/>
      <w:lvlJc w:val="left"/>
      <w:pPr>
        <w:ind w:left="6952" w:hanging="720"/>
      </w:pPr>
    </w:lvl>
    <w:lvl w:ilvl="8">
      <w:start w:val="1"/>
      <w:numFmt w:val="bullet"/>
      <w:lvlText w:val="•"/>
      <w:lvlJc w:val="left"/>
      <w:pPr>
        <w:ind w:left="7828" w:hanging="720"/>
      </w:pPr>
    </w:lvl>
  </w:abstractNum>
  <w:abstractNum w:abstractNumId="11">
    <w:nsid w:val="7D213786"/>
    <w:multiLevelType w:val="multilevel"/>
    <w:tmpl w:val="946EDE7A"/>
    <w:lvl w:ilvl="0">
      <w:start w:val="1"/>
      <w:numFmt w:val="bullet"/>
      <w:lvlText w:val="●"/>
      <w:lvlJc w:val="left"/>
      <w:pPr>
        <w:ind w:left="1540" w:hanging="360"/>
      </w:pPr>
      <w:rPr>
        <w:rFonts w:ascii="Times New Roman" w:eastAsia="Times New Roman" w:hAnsi="Times New Roman" w:cs="Times New Roman"/>
        <w:sz w:val="24"/>
        <w:szCs w:val="24"/>
      </w:rPr>
    </w:lvl>
    <w:lvl w:ilvl="1">
      <w:start w:val="1"/>
      <w:numFmt w:val="bullet"/>
      <w:lvlText w:val="•"/>
      <w:lvlJc w:val="left"/>
      <w:pPr>
        <w:ind w:left="2344" w:hanging="360"/>
      </w:pPr>
    </w:lvl>
    <w:lvl w:ilvl="2">
      <w:start w:val="1"/>
      <w:numFmt w:val="bullet"/>
      <w:lvlText w:val="•"/>
      <w:lvlJc w:val="left"/>
      <w:pPr>
        <w:ind w:left="3148" w:hanging="360"/>
      </w:pPr>
    </w:lvl>
    <w:lvl w:ilvl="3">
      <w:start w:val="1"/>
      <w:numFmt w:val="bullet"/>
      <w:lvlText w:val="•"/>
      <w:lvlJc w:val="left"/>
      <w:pPr>
        <w:ind w:left="3952" w:hanging="360"/>
      </w:pPr>
    </w:lvl>
    <w:lvl w:ilvl="4">
      <w:start w:val="1"/>
      <w:numFmt w:val="bullet"/>
      <w:lvlText w:val="•"/>
      <w:lvlJc w:val="left"/>
      <w:pPr>
        <w:ind w:left="4756" w:hanging="360"/>
      </w:pPr>
    </w:lvl>
    <w:lvl w:ilvl="5">
      <w:start w:val="1"/>
      <w:numFmt w:val="bullet"/>
      <w:lvlText w:val="•"/>
      <w:lvlJc w:val="left"/>
      <w:pPr>
        <w:ind w:left="5560" w:hanging="360"/>
      </w:pPr>
    </w:lvl>
    <w:lvl w:ilvl="6">
      <w:start w:val="1"/>
      <w:numFmt w:val="bullet"/>
      <w:lvlText w:val="•"/>
      <w:lvlJc w:val="left"/>
      <w:pPr>
        <w:ind w:left="6364" w:hanging="360"/>
      </w:pPr>
    </w:lvl>
    <w:lvl w:ilvl="7">
      <w:start w:val="1"/>
      <w:numFmt w:val="bullet"/>
      <w:lvlText w:val="•"/>
      <w:lvlJc w:val="left"/>
      <w:pPr>
        <w:ind w:left="7168" w:hanging="360"/>
      </w:pPr>
    </w:lvl>
    <w:lvl w:ilvl="8">
      <w:start w:val="1"/>
      <w:numFmt w:val="bullet"/>
      <w:lvlText w:val="•"/>
      <w:lvlJc w:val="left"/>
      <w:pPr>
        <w:ind w:left="7972" w:hanging="360"/>
      </w:pPr>
    </w:lvl>
  </w:abstractNum>
  <w:num w:numId="1">
    <w:abstractNumId w:val="6"/>
  </w:num>
  <w:num w:numId="2">
    <w:abstractNumId w:val="9"/>
  </w:num>
  <w:num w:numId="3">
    <w:abstractNumId w:val="10"/>
  </w:num>
  <w:num w:numId="4">
    <w:abstractNumId w:val="1"/>
  </w:num>
  <w:num w:numId="5">
    <w:abstractNumId w:val="4"/>
  </w:num>
  <w:num w:numId="6">
    <w:abstractNumId w:val="11"/>
  </w:num>
  <w:num w:numId="7">
    <w:abstractNumId w:val="7"/>
  </w:num>
  <w:num w:numId="8">
    <w:abstractNumId w:val="5"/>
  </w:num>
  <w:num w:numId="9">
    <w:abstractNumId w:val="8"/>
  </w:num>
  <w:num w:numId="10">
    <w:abstractNumId w:val="2"/>
  </w:num>
  <w:num w:numId="11">
    <w:abstractNumId w:val="3"/>
  </w:num>
  <w:num w:numId="12">
    <w:abstractNumId w:val="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6E8"/>
    <w:rsid w:val="0007066B"/>
    <w:rsid w:val="00071DC1"/>
    <w:rsid w:val="000847B3"/>
    <w:rsid w:val="000F1D3F"/>
    <w:rsid w:val="001229A9"/>
    <w:rsid w:val="00183537"/>
    <w:rsid w:val="001C72C7"/>
    <w:rsid w:val="00240831"/>
    <w:rsid w:val="00241743"/>
    <w:rsid w:val="00241EC3"/>
    <w:rsid w:val="002A0B98"/>
    <w:rsid w:val="002F4ECC"/>
    <w:rsid w:val="00370056"/>
    <w:rsid w:val="00375577"/>
    <w:rsid w:val="003820EF"/>
    <w:rsid w:val="00382FA2"/>
    <w:rsid w:val="003C1B79"/>
    <w:rsid w:val="003C658C"/>
    <w:rsid w:val="003D236F"/>
    <w:rsid w:val="003D56E8"/>
    <w:rsid w:val="00480727"/>
    <w:rsid w:val="00486DCC"/>
    <w:rsid w:val="004D7280"/>
    <w:rsid w:val="005747F1"/>
    <w:rsid w:val="005772D0"/>
    <w:rsid w:val="0059577D"/>
    <w:rsid w:val="005A6F16"/>
    <w:rsid w:val="005B4CC8"/>
    <w:rsid w:val="005B641D"/>
    <w:rsid w:val="005D40A6"/>
    <w:rsid w:val="005F58E2"/>
    <w:rsid w:val="00605058"/>
    <w:rsid w:val="006157F0"/>
    <w:rsid w:val="00616933"/>
    <w:rsid w:val="006602A6"/>
    <w:rsid w:val="006C0421"/>
    <w:rsid w:val="006D53F4"/>
    <w:rsid w:val="006F6AD6"/>
    <w:rsid w:val="007027B4"/>
    <w:rsid w:val="00703766"/>
    <w:rsid w:val="00725338"/>
    <w:rsid w:val="0074451A"/>
    <w:rsid w:val="00780B8A"/>
    <w:rsid w:val="00795D5A"/>
    <w:rsid w:val="00796F0C"/>
    <w:rsid w:val="008125BE"/>
    <w:rsid w:val="00834F38"/>
    <w:rsid w:val="00851F8B"/>
    <w:rsid w:val="0087583F"/>
    <w:rsid w:val="00891467"/>
    <w:rsid w:val="008C0FB7"/>
    <w:rsid w:val="008F353F"/>
    <w:rsid w:val="00916261"/>
    <w:rsid w:val="00961C99"/>
    <w:rsid w:val="009838D8"/>
    <w:rsid w:val="009A503A"/>
    <w:rsid w:val="009A6635"/>
    <w:rsid w:val="009B2F96"/>
    <w:rsid w:val="009D01F2"/>
    <w:rsid w:val="009E4528"/>
    <w:rsid w:val="009F6D11"/>
    <w:rsid w:val="00A13DC3"/>
    <w:rsid w:val="00A66D1F"/>
    <w:rsid w:val="00A755CB"/>
    <w:rsid w:val="00A876E8"/>
    <w:rsid w:val="00A928FC"/>
    <w:rsid w:val="00AA7180"/>
    <w:rsid w:val="00AA724A"/>
    <w:rsid w:val="00AA767F"/>
    <w:rsid w:val="00AC7BA1"/>
    <w:rsid w:val="00AF0158"/>
    <w:rsid w:val="00B257EA"/>
    <w:rsid w:val="00B26017"/>
    <w:rsid w:val="00B36D86"/>
    <w:rsid w:val="00B41274"/>
    <w:rsid w:val="00B438AC"/>
    <w:rsid w:val="00B80F4F"/>
    <w:rsid w:val="00BC02CB"/>
    <w:rsid w:val="00BF66CE"/>
    <w:rsid w:val="00BF701A"/>
    <w:rsid w:val="00C00ACB"/>
    <w:rsid w:val="00C308E1"/>
    <w:rsid w:val="00C5623A"/>
    <w:rsid w:val="00CC7552"/>
    <w:rsid w:val="00CD69B1"/>
    <w:rsid w:val="00D11CF3"/>
    <w:rsid w:val="00D12C74"/>
    <w:rsid w:val="00D15631"/>
    <w:rsid w:val="00D3017C"/>
    <w:rsid w:val="00D75E18"/>
    <w:rsid w:val="00D803B1"/>
    <w:rsid w:val="00DD6534"/>
    <w:rsid w:val="00DE54A7"/>
    <w:rsid w:val="00E23690"/>
    <w:rsid w:val="00E725FC"/>
    <w:rsid w:val="00EB35FF"/>
    <w:rsid w:val="00EB6B86"/>
    <w:rsid w:val="00EC2CAB"/>
    <w:rsid w:val="00EE6EB6"/>
    <w:rsid w:val="00EF501E"/>
    <w:rsid w:val="00F23398"/>
    <w:rsid w:val="00F33ED5"/>
    <w:rsid w:val="00F512C9"/>
    <w:rsid w:val="00F76E84"/>
    <w:rsid w:val="00F82D91"/>
    <w:rsid w:val="00F959FC"/>
    <w:rsid w:val="00FA260F"/>
    <w:rsid w:val="00FD38B2"/>
    <w:rsid w:val="00FD4CC3"/>
    <w:rsid w:val="00FE0A0C"/>
    <w:rsid w:val="00FE2CA9"/>
    <w:rsid w:val="00FE7A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85DF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515"/>
      <w:jc w:val="center"/>
      <w:outlineLvl w:val="0"/>
    </w:pPr>
    <w:rPr>
      <w:b/>
      <w:bCs/>
      <w:sz w:val="28"/>
      <w:szCs w:val="28"/>
    </w:rPr>
  </w:style>
  <w:style w:type="paragraph" w:styleId="Heading2">
    <w:name w:val="heading 2"/>
    <w:basedOn w:val="Normal"/>
    <w:uiPriority w:val="1"/>
    <w:qFormat/>
    <w:pPr>
      <w:ind w:left="1046"/>
      <w:outlineLvl w:val="1"/>
    </w:pPr>
    <w:rPr>
      <w:b/>
      <w:bCs/>
      <w:sz w:val="24"/>
      <w:szCs w:val="24"/>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TOC1">
    <w:name w:val="toc 1"/>
    <w:basedOn w:val="Normal"/>
    <w:uiPriority w:val="39"/>
    <w:qFormat/>
    <w:pPr>
      <w:spacing w:before="100"/>
      <w:ind w:left="139"/>
    </w:pPr>
  </w:style>
  <w:style w:type="paragraph" w:styleId="TOC2">
    <w:name w:val="toc 2"/>
    <w:basedOn w:val="Normal"/>
    <w:uiPriority w:val="39"/>
    <w:qFormat/>
    <w:pPr>
      <w:spacing w:before="100"/>
      <w:ind w:left="1019" w:hanging="661"/>
    </w:pPr>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993" w:hanging="360"/>
      <w:jc w:val="both"/>
    </w:pPr>
  </w:style>
  <w:style w:type="paragraph" w:customStyle="1" w:styleId="TableParagraph">
    <w:name w:val="Table Paragraph"/>
    <w:basedOn w:val="Normal"/>
    <w:uiPriority w:val="1"/>
    <w:qFormat/>
    <w:pPr>
      <w:spacing w:before="62"/>
      <w:ind w:left="218"/>
    </w:pPr>
  </w:style>
  <w:style w:type="paragraph" w:styleId="BalloonText">
    <w:name w:val="Balloon Text"/>
    <w:basedOn w:val="Normal"/>
    <w:link w:val="BalloonTextChar"/>
    <w:uiPriority w:val="99"/>
    <w:semiHidden/>
    <w:unhideWhenUsed/>
    <w:rsid w:val="00FE2392"/>
    <w:rPr>
      <w:rFonts w:ascii="Tahoma" w:hAnsi="Tahoma" w:cs="Tahoma"/>
      <w:sz w:val="16"/>
      <w:szCs w:val="16"/>
    </w:rPr>
  </w:style>
  <w:style w:type="character" w:customStyle="1" w:styleId="BalloonTextChar">
    <w:name w:val="Balloon Text Char"/>
    <w:basedOn w:val="DefaultParagraphFont"/>
    <w:link w:val="BalloonText"/>
    <w:uiPriority w:val="99"/>
    <w:semiHidden/>
    <w:rsid w:val="00FE2392"/>
    <w:rPr>
      <w:rFonts w:ascii="Tahoma" w:eastAsia="Times New Roman" w:hAnsi="Tahoma" w:cs="Tahoma"/>
      <w:sz w:val="16"/>
      <w:szCs w:val="16"/>
    </w:rPr>
  </w:style>
  <w:style w:type="paragraph" w:styleId="Footer">
    <w:name w:val="footer"/>
    <w:basedOn w:val="Normal"/>
    <w:link w:val="FooterChar"/>
    <w:uiPriority w:val="99"/>
    <w:unhideWhenUsed/>
    <w:rsid w:val="004C2956"/>
    <w:pPr>
      <w:tabs>
        <w:tab w:val="center" w:pos="4680"/>
        <w:tab w:val="right" w:pos="9360"/>
      </w:tabs>
    </w:pPr>
  </w:style>
  <w:style w:type="character" w:customStyle="1" w:styleId="FooterChar">
    <w:name w:val="Footer Char"/>
    <w:basedOn w:val="DefaultParagraphFont"/>
    <w:link w:val="Footer"/>
    <w:uiPriority w:val="99"/>
    <w:rsid w:val="004C2956"/>
    <w:rPr>
      <w:rFonts w:ascii="Times New Roman" w:eastAsia="Times New Roman" w:hAnsi="Times New Roman" w:cs="Times New Roman"/>
    </w:rPr>
  </w:style>
  <w:style w:type="paragraph" w:styleId="FootnoteText">
    <w:name w:val="footnote text"/>
    <w:basedOn w:val="Normal"/>
    <w:link w:val="FootnoteTextChar"/>
    <w:uiPriority w:val="99"/>
    <w:unhideWhenUsed/>
    <w:rsid w:val="004C2956"/>
    <w:rPr>
      <w:sz w:val="20"/>
      <w:szCs w:val="20"/>
    </w:rPr>
  </w:style>
  <w:style w:type="character" w:customStyle="1" w:styleId="FootnoteTextChar">
    <w:name w:val="Footnote Text Char"/>
    <w:basedOn w:val="DefaultParagraphFont"/>
    <w:link w:val="FootnoteText"/>
    <w:uiPriority w:val="99"/>
    <w:rsid w:val="004C2956"/>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4C2956"/>
    <w:rPr>
      <w:vertAlign w:val="superscript"/>
    </w:rPr>
  </w:style>
  <w:style w:type="character" w:styleId="CommentReference">
    <w:name w:val="annotation reference"/>
    <w:basedOn w:val="DefaultParagraphFont"/>
    <w:uiPriority w:val="99"/>
    <w:semiHidden/>
    <w:unhideWhenUsed/>
    <w:rsid w:val="007A3552"/>
    <w:rPr>
      <w:sz w:val="16"/>
      <w:szCs w:val="16"/>
    </w:rPr>
  </w:style>
  <w:style w:type="paragraph" w:styleId="CommentText">
    <w:name w:val="annotation text"/>
    <w:basedOn w:val="Normal"/>
    <w:link w:val="CommentTextChar"/>
    <w:uiPriority w:val="99"/>
    <w:semiHidden/>
    <w:unhideWhenUsed/>
    <w:rsid w:val="007A3552"/>
    <w:rPr>
      <w:sz w:val="20"/>
      <w:szCs w:val="20"/>
    </w:rPr>
  </w:style>
  <w:style w:type="character" w:customStyle="1" w:styleId="CommentTextChar">
    <w:name w:val="Comment Text Char"/>
    <w:basedOn w:val="DefaultParagraphFont"/>
    <w:link w:val="CommentText"/>
    <w:uiPriority w:val="99"/>
    <w:semiHidden/>
    <w:rsid w:val="007A355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A3552"/>
    <w:rPr>
      <w:b/>
      <w:bCs/>
    </w:rPr>
  </w:style>
  <w:style w:type="character" w:customStyle="1" w:styleId="CommentSubjectChar">
    <w:name w:val="Comment Subject Char"/>
    <w:basedOn w:val="CommentTextChar"/>
    <w:link w:val="CommentSubject"/>
    <w:uiPriority w:val="99"/>
    <w:semiHidden/>
    <w:rsid w:val="007A3552"/>
    <w:rPr>
      <w:rFonts w:ascii="Times New Roman" w:eastAsia="Times New Roman" w:hAnsi="Times New Roman" w:cs="Times New Roman"/>
      <w:b/>
      <w:bCs/>
      <w:sz w:val="20"/>
      <w:szCs w:val="20"/>
    </w:rPr>
  </w:style>
  <w:style w:type="paragraph" w:styleId="Revision">
    <w:name w:val="Revision"/>
    <w:hidden/>
    <w:uiPriority w:val="99"/>
    <w:semiHidden/>
    <w:rsid w:val="00AA0D16"/>
    <w:pPr>
      <w:widowControl/>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paragraph" w:customStyle="1" w:styleId="URRCHeading1">
    <w:name w:val="URRC_Heading 1"/>
    <w:basedOn w:val="Normal"/>
    <w:uiPriority w:val="1"/>
    <w:qFormat/>
    <w:rsid w:val="00851F8B"/>
    <w:pPr>
      <w:numPr>
        <w:numId w:val="11"/>
      </w:numPr>
      <w:pBdr>
        <w:top w:val="nil"/>
        <w:left w:val="nil"/>
        <w:bottom w:val="nil"/>
        <w:right w:val="nil"/>
        <w:between w:val="nil"/>
      </w:pBdr>
      <w:spacing w:before="7"/>
    </w:pPr>
    <w:rPr>
      <w:rFonts w:ascii="Times New Roman Bold" w:hAnsi="Times New Roman Bold"/>
      <w:b/>
      <w:caps/>
      <w:color w:val="000000"/>
      <w:sz w:val="24"/>
      <w:szCs w:val="24"/>
    </w:rPr>
  </w:style>
  <w:style w:type="paragraph" w:customStyle="1" w:styleId="URRCHeading2">
    <w:name w:val="URRC_Heading 2"/>
    <w:basedOn w:val="Normal"/>
    <w:uiPriority w:val="1"/>
    <w:qFormat/>
    <w:rsid w:val="00851F8B"/>
    <w:pPr>
      <w:numPr>
        <w:ilvl w:val="1"/>
        <w:numId w:val="11"/>
      </w:numPr>
      <w:pBdr>
        <w:top w:val="nil"/>
        <w:left w:val="nil"/>
        <w:bottom w:val="nil"/>
        <w:right w:val="nil"/>
        <w:between w:val="nil"/>
      </w:pBdr>
      <w:spacing w:before="7"/>
    </w:pPr>
    <w:rPr>
      <w:rFonts w:ascii="Times New Roman Bold" w:hAnsi="Times New Roman Bold"/>
      <w:b/>
      <w:caps/>
      <w:color w:val="000000"/>
      <w:sz w:val="24"/>
      <w:szCs w:val="24"/>
    </w:rPr>
  </w:style>
  <w:style w:type="numbering" w:customStyle="1" w:styleId="URRCList">
    <w:name w:val="URRC_List"/>
    <w:uiPriority w:val="99"/>
    <w:rsid w:val="00851F8B"/>
    <w:pPr>
      <w:numPr>
        <w:numId w:val="10"/>
      </w:numPr>
    </w:pPr>
  </w:style>
  <w:style w:type="character" w:styleId="Hyperlink">
    <w:name w:val="Hyperlink"/>
    <w:basedOn w:val="DefaultParagraphFont"/>
    <w:uiPriority w:val="99"/>
    <w:unhideWhenUsed/>
    <w:rsid w:val="00AA724A"/>
    <w:rPr>
      <w:color w:val="0000FF" w:themeColor="hyperlink"/>
      <w:u w:val="single"/>
    </w:rPr>
  </w:style>
  <w:style w:type="table" w:styleId="TableGrid">
    <w:name w:val="Table Grid"/>
    <w:basedOn w:val="TableNormal"/>
    <w:uiPriority w:val="59"/>
    <w:unhideWhenUsed/>
    <w:rsid w:val="008914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3017C"/>
    <w:pPr>
      <w:tabs>
        <w:tab w:val="center" w:pos="4680"/>
        <w:tab w:val="right" w:pos="9360"/>
      </w:tabs>
    </w:pPr>
  </w:style>
  <w:style w:type="character" w:customStyle="1" w:styleId="HeaderChar">
    <w:name w:val="Header Char"/>
    <w:basedOn w:val="DefaultParagraphFont"/>
    <w:link w:val="Header"/>
    <w:uiPriority w:val="99"/>
    <w:rsid w:val="00D3017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515"/>
      <w:jc w:val="center"/>
      <w:outlineLvl w:val="0"/>
    </w:pPr>
    <w:rPr>
      <w:b/>
      <w:bCs/>
      <w:sz w:val="28"/>
      <w:szCs w:val="28"/>
    </w:rPr>
  </w:style>
  <w:style w:type="paragraph" w:styleId="Heading2">
    <w:name w:val="heading 2"/>
    <w:basedOn w:val="Normal"/>
    <w:uiPriority w:val="1"/>
    <w:qFormat/>
    <w:pPr>
      <w:ind w:left="1046"/>
      <w:outlineLvl w:val="1"/>
    </w:pPr>
    <w:rPr>
      <w:b/>
      <w:bCs/>
      <w:sz w:val="24"/>
      <w:szCs w:val="24"/>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TOC1">
    <w:name w:val="toc 1"/>
    <w:basedOn w:val="Normal"/>
    <w:uiPriority w:val="39"/>
    <w:qFormat/>
    <w:pPr>
      <w:spacing w:before="100"/>
      <w:ind w:left="139"/>
    </w:pPr>
  </w:style>
  <w:style w:type="paragraph" w:styleId="TOC2">
    <w:name w:val="toc 2"/>
    <w:basedOn w:val="Normal"/>
    <w:uiPriority w:val="39"/>
    <w:qFormat/>
    <w:pPr>
      <w:spacing w:before="100"/>
      <w:ind w:left="1019" w:hanging="661"/>
    </w:pPr>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993" w:hanging="360"/>
      <w:jc w:val="both"/>
    </w:pPr>
  </w:style>
  <w:style w:type="paragraph" w:customStyle="1" w:styleId="TableParagraph">
    <w:name w:val="Table Paragraph"/>
    <w:basedOn w:val="Normal"/>
    <w:uiPriority w:val="1"/>
    <w:qFormat/>
    <w:pPr>
      <w:spacing w:before="62"/>
      <w:ind w:left="218"/>
    </w:pPr>
  </w:style>
  <w:style w:type="paragraph" w:styleId="BalloonText">
    <w:name w:val="Balloon Text"/>
    <w:basedOn w:val="Normal"/>
    <w:link w:val="BalloonTextChar"/>
    <w:uiPriority w:val="99"/>
    <w:semiHidden/>
    <w:unhideWhenUsed/>
    <w:rsid w:val="00FE2392"/>
    <w:rPr>
      <w:rFonts w:ascii="Tahoma" w:hAnsi="Tahoma" w:cs="Tahoma"/>
      <w:sz w:val="16"/>
      <w:szCs w:val="16"/>
    </w:rPr>
  </w:style>
  <w:style w:type="character" w:customStyle="1" w:styleId="BalloonTextChar">
    <w:name w:val="Balloon Text Char"/>
    <w:basedOn w:val="DefaultParagraphFont"/>
    <w:link w:val="BalloonText"/>
    <w:uiPriority w:val="99"/>
    <w:semiHidden/>
    <w:rsid w:val="00FE2392"/>
    <w:rPr>
      <w:rFonts w:ascii="Tahoma" w:eastAsia="Times New Roman" w:hAnsi="Tahoma" w:cs="Tahoma"/>
      <w:sz w:val="16"/>
      <w:szCs w:val="16"/>
    </w:rPr>
  </w:style>
  <w:style w:type="paragraph" w:styleId="Footer">
    <w:name w:val="footer"/>
    <w:basedOn w:val="Normal"/>
    <w:link w:val="FooterChar"/>
    <w:uiPriority w:val="99"/>
    <w:unhideWhenUsed/>
    <w:rsid w:val="004C2956"/>
    <w:pPr>
      <w:tabs>
        <w:tab w:val="center" w:pos="4680"/>
        <w:tab w:val="right" w:pos="9360"/>
      </w:tabs>
    </w:pPr>
  </w:style>
  <w:style w:type="character" w:customStyle="1" w:styleId="FooterChar">
    <w:name w:val="Footer Char"/>
    <w:basedOn w:val="DefaultParagraphFont"/>
    <w:link w:val="Footer"/>
    <w:uiPriority w:val="99"/>
    <w:rsid w:val="004C2956"/>
    <w:rPr>
      <w:rFonts w:ascii="Times New Roman" w:eastAsia="Times New Roman" w:hAnsi="Times New Roman" w:cs="Times New Roman"/>
    </w:rPr>
  </w:style>
  <w:style w:type="paragraph" w:styleId="FootnoteText">
    <w:name w:val="footnote text"/>
    <w:basedOn w:val="Normal"/>
    <w:link w:val="FootnoteTextChar"/>
    <w:uiPriority w:val="99"/>
    <w:unhideWhenUsed/>
    <w:rsid w:val="004C2956"/>
    <w:rPr>
      <w:sz w:val="20"/>
      <w:szCs w:val="20"/>
    </w:rPr>
  </w:style>
  <w:style w:type="character" w:customStyle="1" w:styleId="FootnoteTextChar">
    <w:name w:val="Footnote Text Char"/>
    <w:basedOn w:val="DefaultParagraphFont"/>
    <w:link w:val="FootnoteText"/>
    <w:uiPriority w:val="99"/>
    <w:rsid w:val="004C2956"/>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4C2956"/>
    <w:rPr>
      <w:vertAlign w:val="superscript"/>
    </w:rPr>
  </w:style>
  <w:style w:type="character" w:styleId="CommentReference">
    <w:name w:val="annotation reference"/>
    <w:basedOn w:val="DefaultParagraphFont"/>
    <w:uiPriority w:val="99"/>
    <w:semiHidden/>
    <w:unhideWhenUsed/>
    <w:rsid w:val="007A3552"/>
    <w:rPr>
      <w:sz w:val="16"/>
      <w:szCs w:val="16"/>
    </w:rPr>
  </w:style>
  <w:style w:type="paragraph" w:styleId="CommentText">
    <w:name w:val="annotation text"/>
    <w:basedOn w:val="Normal"/>
    <w:link w:val="CommentTextChar"/>
    <w:uiPriority w:val="99"/>
    <w:semiHidden/>
    <w:unhideWhenUsed/>
    <w:rsid w:val="007A3552"/>
    <w:rPr>
      <w:sz w:val="20"/>
      <w:szCs w:val="20"/>
    </w:rPr>
  </w:style>
  <w:style w:type="character" w:customStyle="1" w:styleId="CommentTextChar">
    <w:name w:val="Comment Text Char"/>
    <w:basedOn w:val="DefaultParagraphFont"/>
    <w:link w:val="CommentText"/>
    <w:uiPriority w:val="99"/>
    <w:semiHidden/>
    <w:rsid w:val="007A355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A3552"/>
    <w:rPr>
      <w:b/>
      <w:bCs/>
    </w:rPr>
  </w:style>
  <w:style w:type="character" w:customStyle="1" w:styleId="CommentSubjectChar">
    <w:name w:val="Comment Subject Char"/>
    <w:basedOn w:val="CommentTextChar"/>
    <w:link w:val="CommentSubject"/>
    <w:uiPriority w:val="99"/>
    <w:semiHidden/>
    <w:rsid w:val="007A3552"/>
    <w:rPr>
      <w:rFonts w:ascii="Times New Roman" w:eastAsia="Times New Roman" w:hAnsi="Times New Roman" w:cs="Times New Roman"/>
      <w:b/>
      <w:bCs/>
      <w:sz w:val="20"/>
      <w:szCs w:val="20"/>
    </w:rPr>
  </w:style>
  <w:style w:type="paragraph" w:styleId="Revision">
    <w:name w:val="Revision"/>
    <w:hidden/>
    <w:uiPriority w:val="99"/>
    <w:semiHidden/>
    <w:rsid w:val="00AA0D16"/>
    <w:pPr>
      <w:widowControl/>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paragraph" w:customStyle="1" w:styleId="URRCHeading1">
    <w:name w:val="URRC_Heading 1"/>
    <w:basedOn w:val="Normal"/>
    <w:uiPriority w:val="1"/>
    <w:qFormat/>
    <w:rsid w:val="00851F8B"/>
    <w:pPr>
      <w:numPr>
        <w:numId w:val="11"/>
      </w:numPr>
      <w:pBdr>
        <w:top w:val="nil"/>
        <w:left w:val="nil"/>
        <w:bottom w:val="nil"/>
        <w:right w:val="nil"/>
        <w:between w:val="nil"/>
      </w:pBdr>
      <w:spacing w:before="7"/>
    </w:pPr>
    <w:rPr>
      <w:rFonts w:ascii="Times New Roman Bold" w:hAnsi="Times New Roman Bold"/>
      <w:b/>
      <w:caps/>
      <w:color w:val="000000"/>
      <w:sz w:val="24"/>
      <w:szCs w:val="24"/>
    </w:rPr>
  </w:style>
  <w:style w:type="paragraph" w:customStyle="1" w:styleId="URRCHeading2">
    <w:name w:val="URRC_Heading 2"/>
    <w:basedOn w:val="Normal"/>
    <w:uiPriority w:val="1"/>
    <w:qFormat/>
    <w:rsid w:val="00851F8B"/>
    <w:pPr>
      <w:numPr>
        <w:ilvl w:val="1"/>
        <w:numId w:val="11"/>
      </w:numPr>
      <w:pBdr>
        <w:top w:val="nil"/>
        <w:left w:val="nil"/>
        <w:bottom w:val="nil"/>
        <w:right w:val="nil"/>
        <w:between w:val="nil"/>
      </w:pBdr>
      <w:spacing w:before="7"/>
    </w:pPr>
    <w:rPr>
      <w:rFonts w:ascii="Times New Roman Bold" w:hAnsi="Times New Roman Bold"/>
      <w:b/>
      <w:caps/>
      <w:color w:val="000000"/>
      <w:sz w:val="24"/>
      <w:szCs w:val="24"/>
    </w:rPr>
  </w:style>
  <w:style w:type="numbering" w:customStyle="1" w:styleId="URRCList">
    <w:name w:val="URRC_List"/>
    <w:uiPriority w:val="99"/>
    <w:rsid w:val="00851F8B"/>
    <w:pPr>
      <w:numPr>
        <w:numId w:val="10"/>
      </w:numPr>
    </w:pPr>
  </w:style>
  <w:style w:type="character" w:styleId="Hyperlink">
    <w:name w:val="Hyperlink"/>
    <w:basedOn w:val="DefaultParagraphFont"/>
    <w:uiPriority w:val="99"/>
    <w:unhideWhenUsed/>
    <w:rsid w:val="00AA724A"/>
    <w:rPr>
      <w:color w:val="0000FF" w:themeColor="hyperlink"/>
      <w:u w:val="single"/>
    </w:rPr>
  </w:style>
  <w:style w:type="table" w:styleId="TableGrid">
    <w:name w:val="Table Grid"/>
    <w:basedOn w:val="TableNormal"/>
    <w:uiPriority w:val="59"/>
    <w:unhideWhenUsed/>
    <w:rsid w:val="008914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3017C"/>
    <w:pPr>
      <w:tabs>
        <w:tab w:val="center" w:pos="4680"/>
        <w:tab w:val="right" w:pos="9360"/>
      </w:tabs>
    </w:pPr>
  </w:style>
  <w:style w:type="character" w:customStyle="1" w:styleId="HeaderChar">
    <w:name w:val="Header Char"/>
    <w:basedOn w:val="DefaultParagraphFont"/>
    <w:link w:val="Header"/>
    <w:uiPriority w:val="99"/>
    <w:rsid w:val="00D301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5284789">
      <w:bodyDiv w:val="1"/>
      <w:marLeft w:val="0"/>
      <w:marRight w:val="0"/>
      <w:marTop w:val="0"/>
      <w:marBottom w:val="0"/>
      <w:divBdr>
        <w:top w:val="none" w:sz="0" w:space="0" w:color="auto"/>
        <w:left w:val="none" w:sz="0" w:space="0" w:color="auto"/>
        <w:bottom w:val="none" w:sz="0" w:space="0" w:color="auto"/>
        <w:right w:val="none" w:sz="0" w:space="0" w:color="auto"/>
      </w:divBdr>
      <w:divsChild>
        <w:div w:id="7302697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7662808">
              <w:marLeft w:val="0"/>
              <w:marRight w:val="0"/>
              <w:marTop w:val="0"/>
              <w:marBottom w:val="0"/>
              <w:divBdr>
                <w:top w:val="none" w:sz="0" w:space="0" w:color="auto"/>
                <w:left w:val="none" w:sz="0" w:space="0" w:color="auto"/>
                <w:bottom w:val="none" w:sz="0" w:space="0" w:color="auto"/>
                <w:right w:val="none" w:sz="0" w:space="0" w:color="auto"/>
              </w:divBdr>
              <w:divsChild>
                <w:div w:id="582108749">
                  <w:marLeft w:val="0"/>
                  <w:marRight w:val="0"/>
                  <w:marTop w:val="0"/>
                  <w:marBottom w:val="0"/>
                  <w:divBdr>
                    <w:top w:val="none" w:sz="0" w:space="0" w:color="auto"/>
                    <w:left w:val="none" w:sz="0" w:space="0" w:color="auto"/>
                    <w:bottom w:val="none" w:sz="0" w:space="0" w:color="auto"/>
                    <w:right w:val="none" w:sz="0" w:space="0" w:color="auto"/>
                  </w:divBdr>
                  <w:divsChild>
                    <w:div w:id="124854121">
                      <w:marLeft w:val="0"/>
                      <w:marRight w:val="0"/>
                      <w:marTop w:val="0"/>
                      <w:marBottom w:val="0"/>
                      <w:divBdr>
                        <w:top w:val="none" w:sz="0" w:space="0" w:color="auto"/>
                        <w:left w:val="none" w:sz="0" w:space="0" w:color="auto"/>
                        <w:bottom w:val="none" w:sz="0" w:space="0" w:color="auto"/>
                        <w:right w:val="none" w:sz="0" w:space="0" w:color="auto"/>
                      </w:divBdr>
                      <w:divsChild>
                        <w:div w:id="15365767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5141245">
                              <w:marLeft w:val="0"/>
                              <w:marRight w:val="0"/>
                              <w:marTop w:val="0"/>
                              <w:marBottom w:val="0"/>
                              <w:divBdr>
                                <w:top w:val="none" w:sz="0" w:space="0" w:color="auto"/>
                                <w:left w:val="none" w:sz="0" w:space="0" w:color="auto"/>
                                <w:bottom w:val="none" w:sz="0" w:space="0" w:color="auto"/>
                                <w:right w:val="none" w:sz="0" w:space="0" w:color="auto"/>
                              </w:divBdr>
                              <w:divsChild>
                                <w:div w:id="1134328787">
                                  <w:marLeft w:val="0"/>
                                  <w:marRight w:val="0"/>
                                  <w:marTop w:val="0"/>
                                  <w:marBottom w:val="0"/>
                                  <w:divBdr>
                                    <w:top w:val="none" w:sz="0" w:space="0" w:color="auto"/>
                                    <w:left w:val="none" w:sz="0" w:space="0" w:color="auto"/>
                                    <w:bottom w:val="none" w:sz="0" w:space="0" w:color="auto"/>
                                    <w:right w:val="none" w:sz="0" w:space="0" w:color="auto"/>
                                  </w:divBdr>
                                  <w:divsChild>
                                    <w:div w:id="1887179672">
                                      <w:marLeft w:val="0"/>
                                      <w:marRight w:val="0"/>
                                      <w:marTop w:val="0"/>
                                      <w:marBottom w:val="0"/>
                                      <w:divBdr>
                                        <w:top w:val="none" w:sz="0" w:space="0" w:color="auto"/>
                                        <w:left w:val="none" w:sz="0" w:space="0" w:color="auto"/>
                                        <w:bottom w:val="none" w:sz="0" w:space="0" w:color="auto"/>
                                        <w:right w:val="none" w:sz="0" w:space="0" w:color="auto"/>
                                      </w:divBdr>
                                      <w:divsChild>
                                        <w:div w:id="102906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urrc.gov.nu.ca/"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mailto:URRC@gov.nu.ca" TargetMode="External"/><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microsoft.com/office/2018/08/relationships/commentsExtensible" Target="commentsExtensible.xml"/><Relationship Id="rId5" Type="http://schemas.microsoft.com/office/2007/relationships/stylesWithEffects" Target="stylesWithEffects.xml"/><Relationship Id="rId15" Type="http://schemas.openxmlformats.org/officeDocument/2006/relationships/header" Target="header1.xml"/><Relationship Id="rId10" Type="http://schemas.openxmlformats.org/officeDocument/2006/relationships/image" Target="media/image1.jp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jb4hF3RMv5zbgjrIIpln4BKChaQ==">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2E68284-E038-446B-9D21-C75BF966D8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Pages>
  <Words>4438</Words>
  <Characters>25298</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Wade Vienneau</dc:creator>
  <cp:lastModifiedBy>wadesmicrosoft</cp:lastModifiedBy>
  <cp:revision>9</cp:revision>
  <cp:lastPrinted>2020-10-05T23:34:00Z</cp:lastPrinted>
  <dcterms:created xsi:type="dcterms:W3CDTF">2020-10-05T21:33:00Z</dcterms:created>
  <dcterms:modified xsi:type="dcterms:W3CDTF">2020-10-05T23:35:00Z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2020-02-05T00:00:00Z</vt:filetime>
  </property>
  <property fmtid="{D5CDD505-2E9C-101B-9397-08002B2CF9AE}" pid="3" name="Creator">
    <vt:lpwstr>Acrobat PDFMaker 11 for Word</vt:lpwstr>
  </property>
  <property fmtid="{D5CDD505-2E9C-101B-9397-08002B2CF9AE}" pid="4" name="LastSaved">
    <vt:filetime>2020-09-17T00:00:00Z</vt:filetime>
  </property>
</Properties>
</file>